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KEITH HESSING</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DATE:JULY 18, 1995</w:t>
      </w:r>
      <w:r>
        <w:rPr/>
      </w:r>
    </w:p>
    <w:p>
      <w:r>
        <w:rPr/>
      </w:r>
    </w:p>
    <w:p>
      <w:r>
        <w:rPr>
          <w:color w:val="000000"/>
          <w:rFonts w:ascii="Times New Roman  (TT)" w:hAnsi="Times New Roman  (TT)"/>
          <w:sz w:val="24"/>
        </w:rPr>
        <w:t xml:space="preserve">RE:CASE NO. IPC-E-95-6</w:t>
      </w:r>
      <w:r>
        <w:rPr/>
      </w:r>
    </w:p>
    <w:p>
      <w:r>
        <w:rPr>
          <w:color w:val="000000"/>
          <w:rFonts w:ascii="Times New Roman  (TT)" w:hAnsi="Times New Roman  (TT)"/>
          <w:sz w:val="24"/>
        </w:rPr>
        <w:t xml:space="preserve">APPLICATION TO AMEND CERTIFICATE</w:t>
      </w:r>
      <w:r>
        <w:rPr/>
      </w:r>
    </w:p>
    <w:p>
      <w:r>
        <w:rPr/>
      </w:r>
    </w:p>
    <w:p>
      <w:r>
        <w:rPr/>
      </w:r>
    </w:p>
    <w:p>
      <w:r>
        <w:rPr/>
      </w:r>
    </w:p>
    <w:p>
      <w:r>
        <w:rPr>
          <w:color w:val="000000"/>
          <w:rFonts w:ascii="Times New Roman  (TT)" w:hAnsi="Times New Roman  (TT)"/>
          <w:sz w:val="24"/>
        </w:rPr>
        <w:t xml:space="preserve">On June 2, 1995 Idaho Power Company (Idaho Power; Company) filed an Application with the Idaho Public Utilities Commission (Commission) requesting an amendment to its Certificate of Public Convenience and Necessity No. 272 deleting its prior authorization to construct a new 138 kV transmission line from the Wood River substation to the Ketchum substation in Blaine County.  The prior authorization was obtained from the Commission in 1973 in Order No. 11315, Case No. U-1006-89.  The purpose of the proposed line was to provide backup service for the existing Wood River/Ketchum 138 kV transmission line which runs along the east end of the Wood River Valley.  </w:t>
      </w:r>
      <w:r>
        <w:rPr/>
      </w:r>
    </w:p>
    <w:p>
      <w:r>
        <w:rPr>
          <w:color w:val="000000"/>
          <w:rFonts w:ascii="Times New Roman  (TT)" w:hAnsi="Times New Roman  (TT)"/>
          <w:sz w:val="24"/>
        </w:rPr>
        <w:t xml:space="preserve">Based on an extensive reassessment of the feasibility and need for an additional 138 kV Wood River/Ketchum transmission line, the Company concludes that the line is not needed.  The reassessment study performed by the Company includes a review of both the capacity requirements and the reliability requirements for Idaho Power’s electric service to the Ketchum/Sun Valley area.  </w:t>
      </w:r>
      <w:r>
        <w:rPr/>
      </w:r>
    </w:p>
    <w:p>
      <w:r>
        <w:rPr>
          <w:color w:val="000000"/>
          <w:rFonts w:ascii="Times New Roman  (TT)" w:hAnsi="Times New Roman  (TT)"/>
          <w:sz w:val="24"/>
        </w:rPr>
        <w:t xml:space="preserve">Regarding capacity, the Company contends that based on current projections the existing 138 kV Wood River/Ketchum transmission line has sufficient capacity to meet the area’s electric needs for the foreseeable future.  The Company states that it will continue to monitor area load growth and make modifications when necessary.  </w:t>
      </w:r>
      <w:r>
        <w:rPr/>
      </w:r>
    </w:p>
    <w:p>
      <w:r>
        <w:rPr>
          <w:color w:val="000000"/>
          <w:rFonts w:ascii="Times New Roman  (TT)" w:hAnsi="Times New Roman  (TT)"/>
          <w:sz w:val="24"/>
        </w:rPr>
        <w:t xml:space="preserve">Regarding reliability, Idaho Power reports that it has thoroughly reviewed the reliability of its electric service to the Ketchum/Sun Valley area.  The Wood River/Ketchum 138 kV transmission line, the Company contends, has had an excellent record of reliability since its construction in 1962 (only two unplanned outages in the past 14 years, for a total duration of only three minutes).  Nonetheless, the Company states that it has taken a number of steps to further improve the reliability of the line including the following: structural assessment, electrical assessment, fire protection, avalanche study, conductor assessment, maintenance plan and emergency action plan.</w:t>
      </w:r>
      <w:r>
        <w:rPr/>
      </w:r>
    </w:p>
    <w:p>
      <w:r>
        <w:rPr>
          <w:color w:val="000000"/>
          <w:rFonts w:ascii="Times New Roman  (TT)" w:hAnsi="Times New Roman  (TT)"/>
          <w:sz w:val="24"/>
        </w:rPr>
        <w:t xml:space="preserve">  The Company reports that it has also recently completed an extensive public participation process regarding the possible construction of a second 138 kV transmission line from the Wood River substation to the Ketchum substation.  The Company received input from public officials and citizens of the area.  The overwhelming response from the parties commenting, the Company states, was that, despite the unavoidable risk of an outage to the existing transmission line, the proposed transmission line should not be built.  The reasons for public opposition to the line include the difficulty of finding an acceptable route for the transmission line, aesthetic impacts, health and safety concerns, and the excessive cost of burying part or all of the line.  Idaho Power reports that it has been unsuccessful in obtaining the necessary rights-of-way for the additional 138 kV Wood River/Ketchum transmission line.  </w:t>
      </w:r>
      <w:r>
        <w:rPr/>
      </w:r>
    </w:p>
    <w:p>
      <w:r>
        <w:rPr>
          <w:color w:val="000000"/>
          <w:rFonts w:ascii="Times New Roman  (TT)" w:hAnsi="Times New Roman  (TT)"/>
          <w:sz w:val="24"/>
        </w:rPr>
        <w:t xml:space="preserve">Based on the Company’s need analysis and public comments, Idaho Power concludes that construction of an additional 138 kV transmission line from the Wood River substation to the Ketchum substation is not feasible at this time.  The Company reports that it will continue to monitor the condition of the existing Wood River/Ketchum transmission line, the increase in load growth in the Ketchum/Sun Valley area, and the feasibility of obtaining the required right-of-way and public permits for a second 138 kV line.</w:t>
      </w:r>
      <w:r>
        <w:rPr/>
      </w:r>
    </w:p>
    <w:p>
      <w:r>
        <w:rPr>
          <w:color w:val="000000"/>
          <w:rFonts w:ascii="Times New Roman  (TT)" w:hAnsi="Times New Roman  (TT)"/>
          <w:sz w:val="24"/>
        </w:rPr>
        <w:t xml:space="preserve">Because the project, the Company concludes, is neither needed nor feasible, the Company requests authority to amend its Certificate of Public Convenience and Necessity No. 272 by removing the language authorizing the construction by Idaho Power of a second Wood River/Ketchum 138 kV transmission line.  Reference Case No. U-1006-89, Order No. 11315.  </w:t>
      </w:r>
      <w:r>
        <w:rPr/>
      </w:r>
    </w:p>
    <w:p>
      <w:r>
        <w:rPr>
          <w:color w:val="000000"/>
          <w:rFonts w:ascii="Times New Roman  (TT)" w:hAnsi="Times New Roman  (TT)"/>
          <w:sz w:val="24"/>
        </w:rPr>
        <w:t xml:space="preserve">Commission Notices of Application and Modified Procedure in Case No. IPC-E-95-6 issued on June 22, 1995.  The deadline for filing written comments or protests was July 14, 1995.  Commission Staff was the only party to file comments (attached).  Staff recommends approval of the Company’s Application.</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The issue presented for Commission consideration in this case is essentially one of administrative housekeeping.  Idaho Power is attempting to clean up its certificate by deleting prior Commission authorization to construct a second -138 kV transmission line from the Wood River substation to the Ketchum substation, a line the Company now determines is not needed. </w:t>
      </w:r>
      <w:r>
        <w:rPr/>
      </w:r>
    </w:p>
    <w:p>
      <w:r>
        <w:rPr>
          <w:color w:val="000000"/>
          <w:rFonts w:ascii="Times New Roman  (TT)" w:hAnsi="Times New Roman  (TT)"/>
          <w:sz w:val="24"/>
        </w:rPr>
        <w:t xml:space="preserve">●  Does the Commission continue to find Modified Procedure in Case No. IPC-E-95-6 to be appropriate?</w:t>
      </w:r>
      <w:r>
        <w:rPr/>
      </w:r>
    </w:p>
    <w:p>
      <w:r>
        <w:rPr>
          <w:color w:val="000000"/>
          <w:rFonts w:ascii="Times New Roman  (TT)" w:hAnsi="Times New Roman  (TT)"/>
          <w:sz w:val="24"/>
        </w:rPr>
        <w:t xml:space="preserve">●  Is it reasonable to approve the requested Certificate amendment?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Scott D. Woodbury</w:t>
      </w:r>
      <w:r>
        <w:rPr/>
      </w:r>
    </w:p>
    <w:p>
      <w:r>
        <w:rPr/>
      </w:r>
    </w:p>
    <w:p>
      <w:r>
        <w:rPr>
          <w:color w:val="000000"/>
          <w:rFonts w:ascii="Times New Roman  (TT)" w:hAnsi="Times New Roman  (TT)"/>
          <w:sz w:val="24"/>
        </w:rPr>
        <w:t xml:space="preserve">JR\M-IPC-E-95-6.SW2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