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March 6, 1996</w:t>
      </w:r>
      <w:r>
        <w:rPr/>
      </w:r>
    </w:p>
    <w:p>
      <w:r>
        <w:rPr/>
      </w:r>
    </w:p>
    <w:p>
      <w:r>
        <w:rPr/>
      </w:r>
    </w:p>
    <w:p>
      <w:r>
        <w:rPr>
          <w:color w:val="000000"/>
          <w:rFonts w:ascii="Times New Roman" w:hAnsi="Times New Roman"/>
          <w:sz w:val="22"/>
        </w:rPr>
        <w:t xml:space="preserve">Larry D. Ripley, Senior Attorney </w:t>
      </w:r>
      <w:r>
        <w:rPr/>
      </w:r>
    </w:p>
    <w:p>
      <w:r>
        <w:rPr>
          <w:color w:val="000000"/>
          <w:rFonts w:ascii="Times New Roman" w:hAnsi="Times New Roman"/>
          <w:sz w:val="22"/>
        </w:rPr>
        <w:t xml:space="preserve">Idaho Power Company</w:t>
      </w:r>
      <w:r>
        <w:rPr/>
      </w:r>
    </w:p>
    <w:p>
      <w:r>
        <w:rPr>
          <w:color w:val="000000"/>
          <w:rFonts w:ascii="Times New Roman" w:hAnsi="Times New Roman"/>
          <w:sz w:val="22"/>
        </w:rPr>
        <w:t xml:space="preserve">PO Box 70</w:t>
      </w:r>
      <w:r>
        <w:rPr/>
      </w:r>
    </w:p>
    <w:p>
      <w:r>
        <w:rPr>
          <w:color w:val="000000"/>
          <w:rFonts w:ascii="Times New Roman" w:hAnsi="Times New Roman"/>
          <w:sz w:val="22"/>
        </w:rPr>
        <w:t xml:space="preserve">Boise, ID 83707</w:t>
      </w:r>
      <w:r>
        <w:rPr/>
      </w:r>
    </w:p>
    <w:p>
      <w:r>
        <w:rPr/>
      </w:r>
    </w:p>
    <w:p>
      <w:r>
        <w:rPr>
          <w:color w:val="000000"/>
          <w:rFonts w:ascii="Times New Roman" w:hAnsi="Times New Roman"/>
          <w:sz w:val="22"/>
        </w:rPr>
        <w:t xml:space="preserve">Douglas J. Balfour</w:t>
      </w:r>
      <w:r>
        <w:rPr/>
      </w:r>
    </w:p>
    <w:p>
      <w:r>
        <w:rPr>
          <w:color w:val="000000"/>
          <w:rFonts w:ascii="Times New Roman" w:hAnsi="Times New Roman"/>
          <w:sz w:val="22"/>
        </w:rPr>
        <w:t xml:space="preserve">Quane, Smith, Howard &amp; Hull</w:t>
      </w:r>
      <w:r>
        <w:rPr/>
      </w:r>
    </w:p>
    <w:p>
      <w:r>
        <w:rPr>
          <w:color w:val="000000"/>
          <w:rFonts w:ascii="Times New Roman" w:hAnsi="Times New Roman"/>
          <w:sz w:val="22"/>
        </w:rPr>
        <w:t xml:space="preserve">PO Box 4229</w:t>
      </w:r>
      <w:r>
        <w:rPr/>
      </w:r>
    </w:p>
    <w:p>
      <w:r>
        <w:rPr>
          <w:color w:val="000000"/>
          <w:rFonts w:ascii="Times New Roman" w:hAnsi="Times New Roman"/>
          <w:sz w:val="22"/>
        </w:rPr>
        <w:t xml:space="preserve">Pocatello, ID 83205-4229</w:t>
      </w:r>
      <w:r>
        <w:rPr/>
      </w:r>
    </w:p>
    <w:p>
      <w:r>
        <w:rPr/>
      </w:r>
    </w:p>
    <w:p>
      <w:r>
        <w:rPr>
          <w:color w:val="000000"/>
          <w:rFonts w:ascii="Times New Roman" w:hAnsi="Times New Roman"/>
          <w:sz w:val="22"/>
        </w:rPr>
        <w:t xml:space="preserve">RE: </w:t>
      </w:r>
      <w:r>
        <w:rPr>
          <w:color w:val="000000"/>
          <w:rFonts w:ascii="Times New Roman" w:hAnsi="Times New Roman"/>
          <w:sz w:val="22"/>
        </w:rPr>
        <w:t xml:space="preserve">American Heritage v. Idaho Power Company</w:t>
      </w:r>
      <w:r>
        <w:rPr>
          <w:color w:val="000000"/>
          <w:rFonts w:ascii="Times New Roman" w:hAnsi="Times New Roman"/>
          <w:sz w:val="22"/>
        </w:rPr>
        <w:t xml:space="preserve">, Case No. IPC-E-95-13 </w:t>
      </w:r>
      <w:r>
        <w:rPr/>
      </w:r>
    </w:p>
    <w:p>
      <w:r>
        <w:rPr/>
      </w:r>
    </w:p>
    <w:p>
      <w:r>
        <w:rPr>
          <w:color w:val="000000"/>
          <w:rFonts w:ascii="Times New Roman" w:hAnsi="Times New Roman"/>
          <w:sz w:val="22"/>
        </w:rPr>
        <w:t xml:space="preserve">Gentlemen:</w:t>
      </w:r>
      <w:r>
        <w:rPr/>
      </w:r>
    </w:p>
    <w:p>
      <w:r>
        <w:rPr/>
      </w:r>
    </w:p>
    <w:p>
      <w:r>
        <w:rPr>
          <w:color w:val="000000"/>
          <w:rFonts w:ascii="Times New Roman" w:hAnsi="Times New Roman"/>
          <w:sz w:val="22"/>
        </w:rPr>
        <w:t xml:space="preserve">It is my understanding that American Heritage and Idaho Power have reached a settlement in the complaint currently pending before the Commission.  I have reviewed American Heritage’s offer of settlement contained in a letter dated January 29, 1996; Idaho Power’s acceptance contingent upon two conditions dated February 26, 1996; and American Heritage’s acceptance of the conditions contained in a letter dated February 28, 1996.  Briefly, American Heritage agrees to pay Idaho Power $16,000 for the cost of upgrading a distribution feeder line necessary to serve the Cottage Grove First Addition subdivision.  In addition to the $16,000 transmission upgrade, American Heritage agrees to pay the applicable line extension charges within the subdivision.  Payments for the line extensions will be subject to the refund provisions outlined in the Company’s tariffs in effect in August 1995.</w:t>
      </w:r>
      <w:r>
        <w:rPr/>
      </w:r>
    </w:p>
    <w:p>
      <w:r>
        <w:rPr>
          <w:color w:val="000000"/>
          <w:rFonts w:ascii="Times New Roman" w:hAnsi="Times New Roman"/>
          <w:sz w:val="22"/>
        </w:rPr>
        <w:t xml:space="preserve">Turning to the two conditions, American Heritage agrees to pay the $16,000 when Idaho Power advises the Company that the amount is due.  The second condition requires the Staff to indicate that it has no objection  to the Settlement Agreement entered into between the parties.</w:t>
      </w:r>
      <w:r>
        <w:rPr/>
      </w:r>
    </w:p>
    <w:p>
      <w:r>
        <w:rPr>
          <w:color w:val="000000"/>
          <w:rFonts w:ascii="Times New Roman" w:hAnsi="Times New Roman"/>
          <w:sz w:val="22"/>
        </w:rPr>
        <w:t xml:space="preserve">Based upon my review of the settlement agreement outlined in the above reference letters and the particular facts of this case, the Staff does not object to the terms of the settlement.</w:t>
      </w:r>
      <w:r>
        <w:rPr/>
      </w:r>
    </w:p>
    <w:p>
      <w:r>
        <w:rPr>
          <w:color w:val="000000"/>
          <w:rFonts w:ascii="Times New Roman" w:hAnsi="Times New Roman"/>
          <w:sz w:val="22"/>
        </w:rPr>
        <w:t xml:space="preserve">Given the resolution of this complaint, the Staff understands that American Heritage will file the appropriate pleading to dismiss the formal complaint pending before the Commission.  At such time as the Commission receives American Heritage’s Motion to Dismiss, the Staff shall recommend to the Commission that this complaint be dismissed in accordance with the Commission’s Rule 256.</w:t>
      </w:r>
      <w:r>
        <w:rPr/>
      </w:r>
    </w:p>
    <w:p>
      <w:r>
        <w:rPr>
          <w:color w:val="000000"/>
          <w:rFonts w:ascii="Times New Roman" w:hAnsi="Times New Roman"/>
          <w:sz w:val="22"/>
        </w:rPr>
        <w:t xml:space="preserve">Very truly yours,</w:t>
      </w:r>
      <w:r>
        <w:rPr/>
      </w:r>
    </w:p>
    <w:p>
      <w:r>
        <w:rPr/>
      </w:r>
    </w:p>
    <w:p>
      <w:r>
        <w:rPr/>
      </w:r>
    </w:p>
    <w:p>
      <w:r>
        <w:rPr/>
      </w:r>
    </w:p>
    <w:p>
      <w:r>
        <w:rPr>
          <w:color w:val="000000"/>
          <w:rFonts w:ascii="Times New Roman" w:hAnsi="Times New Roman"/>
          <w:sz w:val="22"/>
        </w:rPr>
        <w:t xml:space="preserve">Donald L. Howell, II</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DLH/vld/</w:t>
      </w:r>
      <w:r>
        <w:rPr>
          <w:color w:val="000000"/>
          <w:rFonts w:ascii="Times New Roman" w:hAnsi="Times New Roman"/>
          <w:sz w:val="16"/>
        </w:rPr>
        <w:t xml:space="preserve">L:ipce9513.dh</w:t>
      </w:r>
      <w:r>
        <w:rPr/>
      </w:r>
    </w:p>
    <w:p>
      <w:r>
        <w:rPr/>
      </w:r>
    </w:p>
    <w:p>
      <w:r>
        <w:rPr>
          <w:color w:val="000000"/>
          <w:rFonts w:ascii="Times New Roman" w:hAnsi="Times New Roman"/>
          <w:sz w:val="22"/>
        </w:rPr>
        <w:t xml:space="preserve">cc:Don Oliason</w:t>
      </w:r>
      <w:r>
        <w:rPr/>
      </w:r>
    </w:p>
    <w:p>
      <w:r>
        <w:rPr>
          <w:color w:val="000000"/>
          <w:rFonts w:ascii="Times New Roman" w:hAnsi="Times New Roman"/>
          <w:sz w:val="22"/>
        </w:rPr>
        <w:t xml:space="preserve">Wayne Hart</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