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July 15, 1996</w:t>
      </w:r>
      <w:r>
        <w:rPr/>
      </w:r>
    </w:p>
    <w:p>
      <w:r>
        <w:rPr/>
      </w:r>
    </w:p>
    <w:p>
      <w:r>
        <w:rPr/>
      </w:r>
    </w:p>
    <w:p>
      <w:r>
        <w:rPr/>
      </w:r>
    </w:p>
    <w:p>
      <w:r>
        <w:rPr>
          <w:color w:val="000000"/>
          <w:rFonts w:ascii="Times New Roman" w:hAnsi="Times New Roman"/>
          <w:sz w:val="22"/>
        </w:rPr>
        <w:t xml:space="preserve">C.  Tom Arkoosh</w:t>
      </w:r>
      <w:r>
        <w:rPr/>
      </w:r>
    </w:p>
    <w:p>
      <w:r>
        <w:rPr>
          <w:color w:val="000000"/>
          <w:rFonts w:ascii="Times New Roman" w:hAnsi="Times New Roman"/>
          <w:sz w:val="22"/>
        </w:rPr>
        <w:t xml:space="preserve">116 4th Ave W</w:t>
      </w:r>
      <w:r>
        <w:rPr/>
      </w:r>
    </w:p>
    <w:p>
      <w:r>
        <w:rPr>
          <w:color w:val="000000"/>
          <w:rFonts w:ascii="Times New Roman" w:hAnsi="Times New Roman"/>
          <w:sz w:val="22"/>
        </w:rPr>
        <w:t xml:space="preserve">PO Box 32</w:t>
      </w:r>
      <w:r>
        <w:rPr/>
      </w:r>
    </w:p>
    <w:p>
      <w:r>
        <w:rPr>
          <w:color w:val="000000"/>
          <w:rFonts w:ascii="Times New Roman" w:hAnsi="Times New Roman"/>
          <w:sz w:val="22"/>
        </w:rPr>
        <w:t xml:space="preserve">Gooding, ID 83330</w:t>
      </w:r>
      <w:r>
        <w:rPr/>
      </w:r>
    </w:p>
    <w:p>
      <w:r>
        <w:rPr/>
      </w:r>
    </w:p>
    <w:p>
      <w:r>
        <w:rPr>
          <w:color w:val="000000"/>
          <w:rFonts w:ascii="Times New Roman" w:hAnsi="Times New Roman"/>
          <w:sz w:val="22"/>
        </w:rPr>
        <w:t xml:space="preserve">RE: Case No.  IPC-E-95-17</w:t>
      </w:r>
      <w:r>
        <w:rPr/>
      </w:r>
    </w:p>
    <w:p>
      <w:r>
        <w:rPr>
          <w:color w:val="000000"/>
          <w:rFonts w:ascii="Times New Roman" w:hAnsi="Times New Roman"/>
          <w:sz w:val="22"/>
        </w:rPr>
        <w:t xml:space="preserve">William Arkoosh and Faulkner Brothers vs. Idaho Power Company </w:t>
      </w:r>
      <w:r>
        <w:rPr/>
      </w:r>
    </w:p>
    <w:p>
      <w:r>
        <w:rPr/>
      </w:r>
    </w:p>
    <w:p>
      <w:r>
        <w:rPr>
          <w:color w:val="000000"/>
          <w:rFonts w:ascii="Times New Roman" w:hAnsi="Times New Roman"/>
          <w:sz w:val="22"/>
        </w:rPr>
        <w:t xml:space="preserve">Dear Tom:</w:t>
      </w:r>
      <w:r>
        <w:rPr/>
      </w:r>
    </w:p>
    <w:p>
      <w:r>
        <w:rPr/>
      </w:r>
    </w:p>
    <w:p>
      <w:r>
        <w:rPr>
          <w:color w:val="000000"/>
          <w:rFonts w:ascii="Times New Roman" w:hAnsi="Times New Roman"/>
          <w:sz w:val="22"/>
        </w:rPr>
        <w:t xml:space="preserve">The Commission’s records reflect that the Complaint in Case No. IPC-E-95-17 was filed November 17, 1995, and Idaho Power’s Answer was filed on December 8, 1995.  At the February 20, 1996 prehearing conference, you requested and were allowed an additional 60 days to do a little independent research.  There have been no subsequent filings apart from correspondence.  Unless you provide the Commission with reason to keep the docket open, the case will be dismissed without prejudice.  The Commission’s proposed action is one of administrative housekeeping.  </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Scott D. Woodbury</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SDW/vld</w:t>
      </w:r>
      <w:r>
        <w:rPr/>
      </w:r>
    </w:p>
    <w:p>
      <w:r>
        <w:rPr/>
      </w:r>
    </w:p>
    <w:p>
      <w:r>
        <w:rPr>
          <w:color w:val="000000"/>
          <w:rFonts w:ascii="Times New Roman" w:hAnsi="Times New Roman"/>
          <w:sz w:val="22"/>
        </w:rPr>
        <w:t xml:space="preserve">cc:Larry D.  Ripley</w:t>
      </w:r>
      <w:r>
        <w:rPr/>
      </w:r>
    </w:p>
    <w:p>
      <w:r>
        <w:rPr>
          <w:color w:val="000000"/>
          <w:rFonts w:ascii="Times New Roman" w:hAnsi="Times New Roman"/>
          <w:sz w:val="22"/>
        </w:rPr>
        <w:t xml:space="preserve">Idaho Power Company</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