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r>
    </w:p>
    <w:p>
      <w:r>
        <w:rPr>
          <w:color w:val="000000"/>
          <w:rFonts w:ascii="Times New Roman (Bold)  (TT)" w:hAnsi="Times New Roman (Bold)  (TT)"/>
          <w:sz w:val="24"/>
        </w:rPr>
        <w:t xml:space="preserve">DATE:DECEMBER 20, 1995</w:t>
      </w:r>
      <w:r>
        <w:rPr/>
      </w:r>
    </w:p>
    <w:p>
      <w:r>
        <w:rPr/>
      </w:r>
    </w:p>
    <w:p>
      <w:r>
        <w:rPr>
          <w:color w:val="000000"/>
          <w:rFonts w:ascii="Times New Roman (Bold)  (TT)" w:hAnsi="Times New Roman (Bold)  (TT)"/>
          <w:sz w:val="24"/>
        </w:rPr>
        <w:t xml:space="preserve">RE:CASE NO. IPC-E-95-19</w:t>
      </w:r>
      <w:r>
        <w:rPr/>
      </w:r>
    </w:p>
    <w:p>
      <w:r>
        <w:rPr>
          <w:color w:val="000000"/>
          <w:rFonts w:ascii="Times New Roman (Bold)  (TT)" w:hAnsi="Times New Roman (Bold)  (TT)"/>
          <w:sz w:val="24"/>
        </w:rPr>
        <w:t xml:space="preserve">RUPERT &amp; GLENNS FERRY COGENERATION PROJECTS</w:t>
      </w:r>
      <w:r>
        <w:rPr/>
      </w:r>
    </w:p>
    <w:p>
      <w:r>
        <w:rPr>
          <w:color w:val="000000"/>
          <w:rFonts w:ascii="Times New Roman (Bold)  (TT)" w:hAnsi="Times New Roman (Bold)  (TT)"/>
          <w:sz w:val="24"/>
        </w:rPr>
        <w:t xml:space="preserve">AMENDMENT(S) TO FIRM ENERGY SALES AGREEMENT(S)</w:t>
      </w:r>
      <w:r>
        <w:rPr/>
      </w:r>
    </w:p>
    <w:p>
      <w:r>
        <w:rPr/>
      </w:r>
    </w:p>
    <w:p>
      <w:r>
        <w:rPr/>
      </w:r>
    </w:p>
    <w:p>
      <w:r>
        <w:rPr>
          <w:color w:val="000000"/>
          <w:rFonts w:ascii="Times New Roman  (TT)" w:hAnsi="Times New Roman  (TT)"/>
          <w:sz w:val="24"/>
        </w:rPr>
        <w:t xml:space="preserve">On December 19, 1995, Rupert Cogeneration Partners Ltd. (Rupert) and Glenns Ferry Cogeneration Partners Ltd. (Glenns Ferry) filed an Application with the Idaho Public Utilities Commission (Commission) requesting Commission approval of proposed first and second amendments to the respective Firm Energy Sales Agreement(s) of Rupert and Glenns Ferry with Idaho Power Company.  </w:t>
      </w:r>
      <w:r>
        <w:rPr>
          <w:color w:val="000000"/>
          <w:rFonts w:ascii="Times New Roman  (TT)" w:hAnsi="Times New Roman  (TT)"/>
          <w:sz w:val="24"/>
        </w:rPr>
        <w:t xml:space="preserve">(Staff has reviewed a draft of the proposed amendment(s).  The Application is incomplete.  The amendments will be filed when signed.  Staff has advised the parties that if the amendments are not filed prior to the 10:00 a.m. decision meeting on December 21, 995 Staff will recommend that the agenda item be pulled.)</w:t>
      </w:r>
      <w:r>
        <w:rPr/>
      </w:r>
    </w:p>
    <w:p>
      <w:r>
        <w:rPr>
          <w:color w:val="000000"/>
          <w:rFonts w:ascii="Times New Roman  (TT)" w:hAnsi="Times New Roman  (TT)"/>
          <w:sz w:val="24"/>
        </w:rPr>
        <w:t xml:space="preserve">Rupert Cogeneration Partners Ltd. is the developer of a natural gas cogeneration project (approximately 10 MW) adjacent to the Magic Valley Foods, Inc. potato processing facility in Rupert, Idaho.  The estimated annual net firm energy production is 83,220,000 kWh.  The Agreement dated June 25, 1993, provides for levelized rates over a 20 year contract term.  Reference Case No. IPC-E-93-15, Order No. 25050.  The scheduled operation date is January 1, 1996.</w:t>
      </w:r>
      <w:r>
        <w:rPr/>
      </w:r>
    </w:p>
    <w:p>
      <w:r>
        <w:rPr>
          <w:color w:val="000000"/>
          <w:rFonts w:ascii="Times New Roman  (TT)" w:hAnsi="Times New Roman  (TT)"/>
          <w:sz w:val="24"/>
        </w:rPr>
        <w:t xml:space="preserve">Glenns Ferry Cogeneration Partners Ltd. is the developer of a natural gas cogeneration project (approximately 10 MW) at the Magic West Potato Processing Facility in Glenns Ferry, Idaho.  The estimated annual net firm energy production is 83,220,000 kWh.  The Agreement dated December 9, 1992, provides for levelized rates over a 20-year contract term.  Reference Case No. IPC-E-92-32, Order No. 24674.  Scheduled operation date pursuant to First Amendment is January 1, 1996.  Reference Case No. IPC-E-94-7, Order No. 25505.</w:t>
      </w:r>
      <w:r>
        <w:rPr/>
      </w:r>
    </w:p>
    <w:p>
      <w:r>
        <w:rPr>
          <w:color w:val="000000"/>
          <w:rFonts w:ascii="Times New Roman  (TT)" w:hAnsi="Times New Roman  (TT)"/>
          <w:sz w:val="24"/>
        </w:rPr>
        <w:t xml:space="preserve">The submitted amendments  make the following changes:</w:t>
      </w:r>
      <w:r>
        <w:rPr/>
      </w:r>
    </w:p>
    <w:p>
      <w:r>
        <w:rPr>
          <w:color w:val="000000"/>
          <w:rFonts w:ascii="Times New Roman  (TT)" w:hAnsi="Times New Roman  (TT)"/>
          <w:sz w:val="24"/>
        </w:rPr>
        <w:t xml:space="preserve">Article 4.1.8 Security Interests</w:t>
      </w:r>
      <w:r>
        <w:rPr/>
      </w:r>
    </w:p>
    <w:p>
      <w:r>
        <w:rPr/>
      </w:r>
    </w:p>
    <w:p>
      <w:r>
        <w:rPr>
          <w:color w:val="000000"/>
          <w:rFonts w:ascii="Times New Roman  (TT)" w:hAnsi="Times New Roman  (TT)"/>
          <w:sz w:val="24"/>
        </w:rPr>
        <w:t xml:space="preserve">¶ 4.1.8.1 The first mortgage lien amount is increased from $15 million to $17 million.</w:t>
      </w:r>
      <w:r>
        <w:rPr/>
      </w:r>
    </w:p>
    <w:p>
      <w:r>
        <w:rPr/>
      </w:r>
    </w:p>
    <w:p>
      <w:r>
        <w:rPr>
          <w:color w:val="000000"/>
          <w:rFonts w:ascii="Times New Roman  (TT)" w:hAnsi="Times New Roman  (TT)"/>
          <w:sz w:val="24"/>
        </w:rPr>
        <w:t xml:space="preserve">¶ 4.1.8.2 The term “encumbrance” is further defined.</w:t>
      </w:r>
      <w:r>
        <w:rPr/>
      </w:r>
    </w:p>
    <w:p>
      <w:r>
        <w:rPr/>
      </w:r>
    </w:p>
    <w:p>
      <w:r>
        <w:rPr>
          <w:color w:val="000000"/>
          <w:rFonts w:ascii="Times New Roman  (TT)" w:hAnsi="Times New Roman  (TT)"/>
          <w:sz w:val="24"/>
        </w:rPr>
        <w:t xml:space="preserve">Article 13.3 Energy Acceptance</w:t>
      </w:r>
      <w:r>
        <w:rPr/>
      </w:r>
    </w:p>
    <w:p>
      <w:r>
        <w:rPr/>
      </w:r>
    </w:p>
    <w:p>
      <w:r>
        <w:rPr>
          <w:color w:val="000000"/>
          <w:rFonts w:ascii="Times New Roman  (TT)" w:hAnsi="Times New Roman  (TT)"/>
          <w:sz w:val="24"/>
        </w:rPr>
        <w:t xml:space="preserve">¶ 13.3.2 Idaho Power’s obligations in the event of curtailment are further defined.</w:t>
      </w:r>
      <w:r>
        <w:rPr/>
      </w:r>
    </w:p>
    <w:p>
      <w:r>
        <w:rPr/>
      </w:r>
    </w:p>
    <w:p>
      <w:r>
        <w:rPr>
          <w:color w:val="000000"/>
          <w:rFonts w:ascii="Times New Roman  (TT)" w:hAnsi="Times New Roman  (TT)"/>
          <w:sz w:val="24"/>
        </w:rPr>
        <w:t xml:space="preserve">Article 14.2 Insurance</w:t>
      </w:r>
      <w:r>
        <w:rPr/>
      </w:r>
    </w:p>
    <w:p>
      <w:r>
        <w:rPr/>
      </w:r>
    </w:p>
    <w:p>
      <w:r>
        <w:rPr>
          <w:color w:val="000000"/>
          <w:rFonts w:ascii="Times New Roman  (TT)" w:hAnsi="Times New Roman  (TT)"/>
          <w:sz w:val="24"/>
        </w:rPr>
        <w:t xml:space="preserve">¶ 14.2.4 Alternative language added regarding business interruption (loss of income) insurance.</w:t>
      </w:r>
      <w:r>
        <w:rPr/>
      </w:r>
    </w:p>
    <w:p>
      <w:r>
        <w:rPr/>
      </w:r>
    </w:p>
    <w:p>
      <w:r>
        <w:rPr>
          <w:color w:val="000000"/>
          <w:rFonts w:ascii="Times New Roman  (TT)" w:hAnsi="Times New Roman  (TT)"/>
          <w:sz w:val="24"/>
        </w:rPr>
        <w:t xml:space="preserve">¶ 14.2.4(c) Amount of authorized deductible increased from ten days to thirty days gross daily revenues from sale of electrical energy.</w:t>
      </w:r>
      <w:r>
        <w:rPr/>
      </w:r>
    </w:p>
    <w:p>
      <w:r>
        <w:rPr/>
      </w:r>
    </w:p>
    <w:p>
      <w:r>
        <w:rPr>
          <w:color w:val="000000"/>
          <w:rFonts w:ascii="Times New Roman  (TT)" w:hAnsi="Times New Roman  (TT)"/>
          <w:sz w:val="24"/>
        </w:rPr>
        <w:t xml:space="preserve">Article 16 Force Majeure</w:t>
      </w:r>
      <w:r>
        <w:rPr/>
      </w:r>
    </w:p>
    <w:p>
      <w:r>
        <w:rPr/>
      </w:r>
    </w:p>
    <w:p>
      <w:r>
        <w:rPr>
          <w:color w:val="000000"/>
          <w:rFonts w:ascii="Times New Roman  (TT)" w:hAnsi="Times New Roman  (TT)"/>
          <w:sz w:val="24"/>
        </w:rPr>
        <w:t xml:space="preserve">¶ 16.4 Language added to clarify that obligation to pay liquidated damages as a result of permanent curtailment will not be excused even if the permanent curtailment arises out of an event of force majeure.</w:t>
      </w:r>
      <w:r>
        <w:rPr/>
      </w:r>
    </w:p>
    <w:p>
      <w:r>
        <w:rPr/>
      </w:r>
    </w:p>
    <w:p>
      <w:r>
        <w:rPr>
          <w:color w:val="000000"/>
          <w:rFonts w:ascii="Times New Roman  (TT)" w:hAnsi="Times New Roman  (TT)"/>
          <w:sz w:val="24"/>
        </w:rPr>
        <w:t xml:space="preserve">Article 21 Disputes and Default</w:t>
      </w:r>
      <w:r>
        <w:rPr/>
      </w:r>
    </w:p>
    <w:p>
      <w:r>
        <w:rPr/>
      </w:r>
    </w:p>
    <w:p>
      <w:r>
        <w:rPr>
          <w:color w:val="000000"/>
          <w:rFonts w:ascii="Times New Roman  (TT)" w:hAnsi="Times New Roman  (TT)"/>
          <w:sz w:val="24"/>
        </w:rPr>
        <w:t xml:space="preserve">¶ 21.2 Amended to permit cure of default “within a commercially reasonable time” but not within 60 days.</w:t>
      </w:r>
      <w:r>
        <w:rPr/>
      </w:r>
    </w:p>
    <w:p>
      <w:r>
        <w:rPr/>
      </w:r>
    </w:p>
    <w:p>
      <w:r>
        <w:rPr>
          <w:color w:val="000000"/>
          <w:rFonts w:ascii="Times New Roman  (TT)" w:hAnsi="Times New Roman  (TT)"/>
          <w:sz w:val="24"/>
        </w:rPr>
        <w:t xml:space="preserve">¶ 21.4.2 Debt Service Reserve Account requirement amount changed from 20% of the facility’s estimated gross revenue from net firm energy sales for the first contract year to 50% of the facility’s estimated annual debt service.</w:t>
      </w:r>
      <w:r>
        <w:rPr/>
      </w:r>
    </w:p>
    <w:p>
      <w:r>
        <w:rPr/>
      </w:r>
    </w:p>
    <w:p>
      <w:r>
        <w:rPr>
          <w:color w:val="000000"/>
          <w:rFonts w:ascii="Times New Roman  (TT)" w:hAnsi="Times New Roman  (TT)"/>
          <w:sz w:val="24"/>
        </w:rPr>
        <w:t xml:space="preserve">¶ 21.4.3 Amended to permit seller, with Company approval, to substitute Debt Service Loan in lieu of Debt Service Reserve Account.</w:t>
      </w:r>
      <w:r>
        <w:rPr/>
      </w:r>
    </w:p>
    <w:p>
      <w:r>
        <w:rPr/>
      </w:r>
    </w:p>
    <w:p>
      <w:r>
        <w:rPr>
          <w:color w:val="000000"/>
          <w:rFonts w:ascii="Times New Roman  (TT)" w:hAnsi="Times New Roman  (TT)"/>
          <w:sz w:val="24"/>
        </w:rPr>
        <w:t xml:space="preserve">Article 27 Notices </w:t>
      </w:r>
      <w:r>
        <w:rPr/>
      </w:r>
    </w:p>
    <w:p>
      <w:r>
        <w:rPr/>
      </w:r>
    </w:p>
    <w:p>
      <w:r>
        <w:rPr>
          <w:color w:val="000000"/>
          <w:rFonts w:ascii="Times New Roman  (TT)" w:hAnsi="Times New Roman  (TT)"/>
          <w:sz w:val="24"/>
        </w:rPr>
        <w:t xml:space="preserve">Notice Requirement of Seller Amended.</w:t>
      </w:r>
      <w:r>
        <w:rPr/>
      </w:r>
    </w:p>
    <w:p>
      <w:r>
        <w:rPr/>
      </w:r>
    </w:p>
    <w:p>
      <w:r>
        <w:rPr>
          <w:color w:val="000000"/>
          <w:rFonts w:ascii="Times New Roman  (TT)" w:hAnsi="Times New Roman  (TT)"/>
          <w:sz w:val="24"/>
        </w:rPr>
        <w:t xml:space="preserve">Agreement Appendix B, Special Facilities, Point of Delivery, Metering and Operation Date</w:t>
      </w:r>
      <w:r>
        <w:rPr/>
      </w:r>
    </w:p>
    <w:p>
      <w:r>
        <w:rPr/>
      </w:r>
    </w:p>
    <w:p>
      <w:r>
        <w:rPr>
          <w:color w:val="000000"/>
          <w:rFonts w:ascii="Times New Roman  (TT)" w:hAnsi="Times New Roman  (TT)"/>
          <w:sz w:val="24"/>
        </w:rPr>
        <w:t xml:space="preserve">Deleted in its entirety and substitute language submitted.</w:t>
      </w:r>
      <w:r>
        <w:rPr/>
      </w:r>
    </w:p>
    <w:p>
      <w:r>
        <w:rPr>
          <w:color w:val="000000"/>
          <w:rFonts w:ascii="Times New Roman  (TT)" w:hAnsi="Times New Roman  (TT)"/>
          <w:sz w:val="24"/>
        </w:rPr>
        <w:t xml:space="preserve">Scheduled operation date extended to March 7, 1996.</w:t>
      </w:r>
      <w:r>
        <w:rPr/>
      </w:r>
    </w:p>
    <w:p>
      <w:r>
        <w:rPr/>
      </w:r>
    </w:p>
    <w:p>
      <w:r>
        <w:rPr>
          <w:color w:val="000000"/>
          <w:rFonts w:ascii="Times New Roman  (TT)" w:hAnsi="Times New Roman  (TT)"/>
          <w:sz w:val="24"/>
        </w:rPr>
        <w:t xml:space="preserve">Agreement Appendix C, Lump Sum Refund Payment for Permanent Curtailment  (Glenns Ferry only)</w:t>
      </w:r>
      <w:r>
        <w:rPr/>
      </w:r>
    </w:p>
    <w:p>
      <w:r>
        <w:rPr/>
      </w:r>
    </w:p>
    <w:p>
      <w:r>
        <w:rPr>
          <w:color w:val="000000"/>
          <w:rFonts w:ascii="Times New Roman  (TT)" w:hAnsi="Times New Roman  (TT)"/>
          <w:sz w:val="24"/>
        </w:rPr>
        <w:t xml:space="preserve">Deleted in its entirety and substitute language submitted.</w:t>
      </w:r>
      <w:r>
        <w:rPr/>
      </w:r>
    </w:p>
    <w:p>
      <w:r>
        <w:rPr>
          <w:color w:val="000000"/>
          <w:rFonts w:ascii="Times New Roman  (TT)" w:hAnsi="Times New Roman  (TT)"/>
          <w:sz w:val="24"/>
        </w:rPr>
        <w:t xml:space="preserve">Refund Payment Amount adjusted for change in scheduled operation date.</w:t>
      </w:r>
      <w:r>
        <w:rPr/>
      </w:r>
    </w:p>
    <w:p>
      <w:r>
        <w:rPr/>
      </w:r>
    </w:p>
    <w:p>
      <w:r>
        <w:rPr>
          <w:color w:val="000000"/>
          <w:rFonts w:ascii="Times New Roman  (TT)" w:hAnsi="Times New Roman  (TT)"/>
          <w:sz w:val="24"/>
        </w:rPr>
        <w:t xml:space="preserve">To facilitate final project construction financing, Rupert and Glenns Ferry represent that a Commission Order (or Minute Entry) approving the proposed amendments is needed by December 21, 1995.  The negotiated changes have been reviewed by Staff.  It is Staff’s belief that the proposed changes do not materially affect the risk to the Company or its customers and that the amendment(s) should be approved.</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wish to approve the proposed amendments to the Rupert and Glenns Ferry Firm Energy Sales Agreements?  By Order or Minute Entry?  Does the Commission continue to find that all costs incurred by Idaho Power related to the Firm Energy Sales Agreements shall be allowed as prudently incurred expenses for ratemaking purposes?</w:t>
      </w:r>
      <w:r>
        <w:rPr/>
      </w:r>
    </w:p>
    <w:p>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vld/M:IPC-E-95-19.sw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