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APPROVING THE COMPANY’S PROPOSED PAYMENTS TO THE NEZ PERCE TRIBE PERTAINING TO THE COMPANY’S HELLS CANYON COMPLEX AND FOR AN ACCOUNTING ORDER CONCERNING THE PAYMENTS TO BE MADE IN THE EVENT OF FINAL SETTLEMENT.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2, 1996, the Idaho Power Company (Idaho Power; Company) filed an Application with the Commission seeking approval of proposed payments to be made to the Nez Perce Tribe resulting from litigation between the Tribe and the Company.  The litigation involves the Tribe’s claims that the Company’s three Hells Canyon hydroelectric projects (Brownlee Dam, Oxbow Dam and Hells Canyon Dam) prevent anadromous fish from reaching their traditional spawning areas destroying certain fish runs and denying access to certain of the Tribe’s usual and accustomed fishing places.  These actions allegedly deprive the Tribe of its treaty rights to take fish from the Columbia and Snake Rivers.  The Tribe sought compensatory and punitive damages as a result.  </w:t>
      </w:r>
      <w:r>
        <w:rPr>
          <w:vertAlign w:val="baseline"/>
        </w:rPr>
      </w:r>
    </w:p>
    <w:p>
      <w:r>
        <w:rPr>
          <w:color w:val="000000"/>
          <w:rFonts w:ascii="Times New Roman" w:hAnsi="Times New Roman"/>
          <w:sz w:val="24"/>
          <w:vertAlign w:val="baseline"/>
        </w:rPr>
        <w:t xml:space="preserve">Following the filing of a civil action against Idaho Power, the Company and the Tribe entered into settlement negotiations culminating in an agreement between the two parties.  That agreement, included with the Company’s Application, provides for the payment by Idaho Power to the Tribe of the equivalent of $16.5 million plus certain earnings from a Trust as set forth in the agreement.  Pursuant to the agreement, the Company would pay the Tribe $5 million when the Settlement Agreement is entered into between the parties.  At the same time, the Tribe would dismiss an action pending in federal court.  Idaho Power would thereafter pay the Tribe a total of $6.5 million in four equal installments.  Finally, the Company may also make a payment of $5 million into a trust account on August 3, 2003, the date by which the Company must file its Application to relicense the Hells Canyon complex.  The Company is not requesting any action by the Commission at this time in regard to this August 3, 2003 payment.</w:t>
      </w:r>
      <w:r>
        <w:rPr>
          <w:vertAlign w:val="baseline"/>
        </w:rPr>
      </w:r>
    </w:p>
    <w:p>
      <w:r>
        <w:rPr>
          <w:color w:val="000000"/>
          <w:rFonts w:ascii="Times New Roman" w:hAnsi="Times New Roman"/>
          <w:sz w:val="24"/>
          <w:vertAlign w:val="baseline"/>
        </w:rPr>
        <w:t xml:space="preserve">Idaho Power proposes to capitalize the settlement payments to electric plant as a component of construction costs for injuries and damages, insurance and legal expenditures consistent with the uniform system of accounts (18 CFR § 1.101, A, 8, 14 and 15).  The amounts capitalized will be amortized through Account 404, amortization expense.  </w:t>
      </w:r>
      <w:r>
        <w:rPr>
          <w:vertAlign w:val="baseline"/>
        </w:rPr>
      </w:r>
    </w:p>
    <w:p>
      <w:r>
        <w:rPr>
          <w:color w:val="000000"/>
          <w:rFonts w:ascii="Times New Roman" w:hAnsi="Times New Roman"/>
          <w:sz w:val="24"/>
          <w:vertAlign w:val="baseline"/>
        </w:rPr>
        <w:t xml:space="preserve">Idaho Power proposes an alternative treatment if it is determined that capitalization to utility plant is inappropriate.  The alternative accounting treatment would defer the settlement payments as a regulatory asset with the amortization through Account 557, other power supply expenses.</w:t>
      </w:r>
      <w:r>
        <w:rPr>
          <w:vertAlign w:val="baseline"/>
        </w:rPr>
      </w:r>
    </w:p>
    <w:p>
      <w:r>
        <w:rPr>
          <w:color w:val="000000"/>
          <w:rFonts w:ascii="Times New Roman" w:hAnsi="Times New Roman"/>
          <w:sz w:val="24"/>
          <w:vertAlign w:val="baseline"/>
        </w:rPr>
        <w:t xml:space="preserve">Under either alternative, Idaho Power proposes to begin amortization of the settlement payments one month after the payments are made.  The monthly amortization would continue through the year 2035.  As proposed, the monthly amortization amounts will be included in the Company’s next rate proceeding and will be reflected in the earnings test for purposes of Order No. 26216, Case No. IPC-E-95-11, the rate moratorium and stability of earnings proceeding.</w:t>
      </w:r>
      <w:r>
        <w:rPr>
          <w:vertAlign w:val="baseline"/>
        </w:rPr>
      </w:r>
    </w:p>
    <w:p>
      <w:r>
        <w:rPr>
          <w:color w:val="000000"/>
          <w:rFonts w:ascii="Times New Roman" w:hAnsi="Times New Roman"/>
          <w:sz w:val="24"/>
          <w:vertAlign w:val="baseline"/>
        </w:rPr>
        <w:t xml:space="preserve"> 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must </w:t>
      </w:r>
      <w:r>
        <w:rPr>
          <w:color w:val="000000"/>
          <w:rFonts w:ascii="Times New Roman" w:hAnsi="Times New Roman"/>
          <w:sz w:val="24"/>
          <w:vertAlign w:val="baseline"/>
        </w:rPr>
        <w:t xml:space="preserve">file a written comment in support or opposition with the Commission by</w:t>
      </w:r>
      <w:r>
        <w:rPr>
          <w:color w:val="000000"/>
          <w:rFonts w:ascii="Times New Roman" w:hAnsi="Times New Roman"/>
          <w:sz w:val="24"/>
          <w:vertAlign w:val="baseline"/>
        </w:rPr>
        <w:t xml:space="preserve">Wednesday, May 29, 1996</w:t>
      </w:r>
      <w:r>
        <w:rPr>
          <w:color w:val="000000"/>
          <w:rFonts w:ascii="Times New Roman" w:hAnsi="Times New Roman"/>
          <w:sz w:val="24"/>
          <w:vertAlign w:val="baseline"/>
        </w:rPr>
        <w:t xml:space="preserv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SECRETARYLARRY RIPLEY</w:t>
      </w:r>
      <w:r>
        <w:rPr>
          <w:vertAlign w:val="baseline"/>
        </w:rPr>
      </w:r>
    </w:p>
    <w:p>
      <w:r>
        <w:rPr>
          <w:color w:val="000000"/>
          <w:rFonts w:ascii="Times New Roman" w:hAnsi="Times New Roman"/>
          <w:sz w:val="24"/>
          <w:vertAlign w:val="baseline"/>
        </w:rPr>
        <w:t xml:space="preserve">IDAHO PUBLIC UTILITIES COMMISSIONIDAHO POWER COMPANY</w:t>
      </w:r>
      <w:r>
        <w:rPr>
          <w:vertAlign w:val="baseline"/>
        </w:rPr>
      </w:r>
    </w:p>
    <w:p>
      <w:r>
        <w:rPr>
          <w:color w:val="000000"/>
          <w:rFonts w:ascii="Times New Roman" w:hAnsi="Times New Roman"/>
          <w:sz w:val="24"/>
          <w:vertAlign w:val="baseline"/>
        </w:rPr>
        <w:t xml:space="preserve">PO BOX 83720PO BOX 70</w:t>
      </w:r>
      <w:r>
        <w:rPr>
          <w:vertAlign w:val="baseline"/>
        </w:rPr>
      </w:r>
    </w:p>
    <w:p>
      <w:r>
        <w:rPr>
          <w:color w:val="000000"/>
          <w:rFonts w:ascii="Times New Roman" w:hAnsi="Times New Roman"/>
          <w:sz w:val="24"/>
          <w:vertAlign w:val="baseline"/>
        </w:rPr>
        <w:t xml:space="preserve">BOISE, IDAHO  83720-0074BOISE,  ID  83707-0070</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vld/N:IPC-E-96-3.bp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