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DONALD HOWELL</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DATE:JULY 5, 1996</w:t>
      </w:r>
      <w:r>
        <w:rPr/>
      </w:r>
    </w:p>
    <w:p>
      <w:r>
        <w:rPr/>
      </w:r>
    </w:p>
    <w:p>
      <w:r>
        <w:rPr>
          <w:color w:val="000000"/>
          <w:rFonts w:ascii="Times New Roman" w:hAnsi="Times New Roman"/>
          <w:sz w:val="24"/>
        </w:rPr>
        <w:t xml:space="preserve">RE:IDAHO POWER COMPANY'S REQUEST FOR ACCOUNTING ORDER RELATED TO NEZ PERCE TRIBE PAYMENTS, CASE NO.  IPC-E-96-3.</w:t>
      </w:r>
      <w:r>
        <w:rPr/>
      </w:r>
    </w:p>
    <w:p>
      <w:r>
        <w:rPr/>
      </w:r>
    </w:p>
    <w:p>
      <w:r>
        <w:rPr/>
      </w:r>
    </w:p>
    <w:p>
      <w:r>
        <w:rPr>
          <w:color w:val="000000"/>
          <w:rFonts w:ascii="Times New Roman" w:hAnsi="Times New Roman"/>
          <w:sz w:val="24"/>
        </w:rPr>
        <w:t xml:space="preserve">Idaho Power Company (Idaho Power) requests approval of accounting entries for proposed payments to be made to the Nez Perce Tribe (Tribe) resulting from settlement of the litigation between the Tribe and Idaho Power.  The Notice of Modified Procedure was issued May 7, 1996 with the Commission Staff filing comments on May 29, 1996.  No other party filed comments.</w:t>
      </w:r>
      <w:r>
        <w:rPr/>
      </w:r>
    </w:p>
    <w:p>
      <w:r>
        <w:rPr>
          <w:color w:val="000000"/>
          <w:rFonts w:ascii="Times New Roman" w:hAnsi="Times New Roman"/>
          <w:sz w:val="24"/>
        </w:rPr>
        <w:t xml:space="preserve">  </w:t>
      </w:r>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April 2, 1996, Idaho Power Company filed an Application with the Commission seeking approval of proposed payments to be made to the Nez Perce Tribe resulting from litigation between the Tribe and Idaho Power</w:t>
      </w:r>
      <w:r>
        <w:rPr>
          <w:color w:val="000000"/>
          <w:rFonts w:ascii="Times New Roman" w:hAnsi="Times New Roman"/>
          <w:sz w:val="24"/>
        </w:rPr>
        <w:t xml:space="preserve">.  The litigation involves the Tribe’s claims that Idaho Power</w:t>
      </w:r>
      <w:r>
        <w:rPr>
          <w:color w:val="000000"/>
          <w:rFonts w:ascii="Times New Roman" w:hAnsi="Times New Roman"/>
          <w:sz w:val="24"/>
        </w:rPr>
        <w:t xml:space="preserve">’s three Hells Canyon hydroelectric projects (Brownlee Dam, Oxbow Dam and Hells Canyon Dam) prevent anadromous fish from reaching their traditional spawning areas destroying certain fish runs and denying access to certain of the Tribe’s usual and accustomed fishing places.  These actions allegedly deprive the Tribe of its treaty rights to take fish from the Columbia and Snake Rivers.  The Tribe sought compensatory and punitive damages as a result.</w:t>
      </w:r>
      <w:r>
        <w:rPr/>
      </w:r>
    </w:p>
    <w:p>
      <w:r>
        <w:rPr>
          <w:color w:val="000000"/>
          <w:rFonts w:ascii="Times New Roman" w:hAnsi="Times New Roman"/>
          <w:sz w:val="24"/>
        </w:rPr>
        <w:t xml:space="preserve">  </w:t>
      </w:r>
      <w:r>
        <w:rPr/>
      </w:r>
    </w:p>
    <w:p>
      <w:r>
        <w:rPr>
          <w:color w:val="000000"/>
          <w:rFonts w:ascii="Times New Roman" w:hAnsi="Times New Roman"/>
          <w:sz w:val="24"/>
        </w:rPr>
        <w:t xml:space="preserve">Following the filing of a civil action against Idaho Power, Idaho Power</w:t>
      </w:r>
      <w:r>
        <w:rPr>
          <w:color w:val="000000"/>
          <w:rFonts w:ascii="Times New Roman" w:hAnsi="Times New Roman"/>
          <w:sz w:val="24"/>
        </w:rPr>
        <w:t xml:space="preserve"> and the Tribe entered into settlement negotiations culminating in an agreement between the two parties.  That agreement, included with Idaho Power</w:t>
      </w:r>
      <w:r>
        <w:rPr>
          <w:color w:val="000000"/>
          <w:rFonts w:ascii="Times New Roman" w:hAnsi="Times New Roman"/>
          <w:sz w:val="24"/>
        </w:rPr>
        <w:t xml:space="preserve">’s Application, provides for the payment by Idaho Power to the Tribe of the equivalent of $16.5 million plus certain earnings from a Trust as set forth in the agreement.  Pursuant to the agreement, Idaho Power</w:t>
      </w:r>
      <w:r>
        <w:rPr>
          <w:color w:val="000000"/>
          <w:rFonts w:ascii="Times New Roman" w:hAnsi="Times New Roman"/>
          <w:sz w:val="24"/>
        </w:rPr>
        <w:t xml:space="preserve"> would pay the Tribe $5 million when the Settlement Agreement is entered into between the parties.  At the same time, the Tribe would dismiss an action pending in federal court.  Idaho Power would thereafter pay the Tribe a total of $6.5 million in four equal installments.  Finally, Idaho Power</w:t>
      </w:r>
      <w:r>
        <w:rPr>
          <w:color w:val="000000"/>
          <w:rFonts w:ascii="Times New Roman" w:hAnsi="Times New Roman"/>
          <w:sz w:val="24"/>
        </w:rPr>
        <w:t xml:space="preserve"> may also make a payment of $5 million into a trust account on August 3, 2003, the date by which Idaho Power</w:t>
      </w:r>
      <w:r>
        <w:rPr>
          <w:color w:val="000000"/>
          <w:rFonts w:ascii="Times New Roman" w:hAnsi="Times New Roman"/>
          <w:sz w:val="24"/>
        </w:rPr>
        <w:t xml:space="preserve"> must file its Application to relicense the Hells Canyon complex. Idaho Power</w:t>
      </w:r>
      <w:r>
        <w:rPr>
          <w:color w:val="000000"/>
          <w:rFonts w:ascii="Times New Roman" w:hAnsi="Times New Roman"/>
          <w:sz w:val="24"/>
        </w:rPr>
        <w:t xml:space="preserve"> is not requesting any action by the Commission at this time in regard to this August 3, 2003 payment.</w:t>
      </w:r>
      <w:r>
        <w:rPr/>
      </w:r>
    </w:p>
    <w:p>
      <w:r>
        <w:rPr>
          <w:color w:val="000000"/>
          <w:rFonts w:ascii="Times New Roman" w:hAnsi="Times New Roman"/>
          <w:sz w:val="24"/>
        </w:rPr>
        <w:t xml:space="preserve">Idaho Power proposes to capitalize the settlement payments and book them to electric plant in service as a component of construction costs.  The payments reflect injuries and damages, insurance or legal expenditures consistent with the Uniform System of Accounts (18 CFR </w:t>
      </w:r>
      <w:r>
        <w:rPr>
          <w:color w:val="000000"/>
          <w:rFonts w:ascii="Times New Roman" w:hAnsi="Times New Roman"/>
          <w:sz w:val="24"/>
        </w:rPr>
        <w:t xml:space="preserve">§</w:t>
      </w:r>
      <w:r>
        <w:rPr>
          <w:color w:val="000000"/>
          <w:rFonts w:ascii="Times New Roman" w:hAnsi="Times New Roman"/>
          <w:sz w:val="24"/>
        </w:rPr>
        <w:t xml:space="preserve">1.101, A, 8, 14 and 15).  The amounts capitalized will be amortized through Account 404, amortization expense.  </w:t>
      </w:r>
      <w:r>
        <w:rPr/>
      </w:r>
    </w:p>
    <w:p>
      <w:r>
        <w:rPr>
          <w:color w:val="000000"/>
          <w:rFonts w:ascii="Times New Roman" w:hAnsi="Times New Roman"/>
          <w:sz w:val="24"/>
        </w:rPr>
        <w:t xml:space="preserve">Idaho Power proposes an alternative treatment if it is determined that capitalization to utility plant is inappropriate.  The alternative accounting treatment would defer the settlement payments as a regulatory asset with the amortization through Account 557, other power supply expenses.</w:t>
      </w:r>
      <w:r>
        <w:rPr/>
      </w:r>
    </w:p>
    <w:p>
      <w:r>
        <w:rPr>
          <w:color w:val="000000"/>
          <w:rFonts w:ascii="Times New Roman" w:hAnsi="Times New Roman"/>
          <w:sz w:val="24"/>
        </w:rPr>
        <w:t xml:space="preserve">Under either alternative, Idaho Power proposes to begin amortization of the settlement payments one month after the payments are made.  The monthly amortization would continue through the year 2035.  As proposed, the monthly amortization amounts will be included in the Idaho Power</w:t>
      </w:r>
      <w:r>
        <w:rPr>
          <w:color w:val="000000"/>
          <w:rFonts w:ascii="Times New Roman" w:hAnsi="Times New Roman"/>
          <w:sz w:val="24"/>
        </w:rPr>
        <w:t xml:space="preserve">’s next rate proceeding and will be reflected in the earnings test for purposes of Order No. 26216, Case No. IPC-E-95-11, the rate moratorium and stability of earnings proceeding.</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capitalizing the settlement payments as proposed.  The payments through the year 2000 amounting to $11,500,000 reflect litigation costs for the settlement of claimed injuries and damages.  These expenditures are properly booked to plant in service as set forth in the Uniform </w:t>
      </w:r>
      <w:r>
        <w:rPr>
          <w:color w:val="000000"/>
          <w:rFonts w:ascii="Times New Roman" w:hAnsi="Times New Roman"/>
          <w:sz w:val="24"/>
        </w:rPr>
        <w:t xml:space="preserve">System of Accounts (18 CFR </w:t>
      </w:r>
      <w:r>
        <w:rPr>
          <w:color w:val="000000"/>
          <w:rFonts w:ascii="Times New Roman" w:hAnsi="Times New Roman"/>
          <w:sz w:val="24"/>
        </w:rPr>
        <w:t xml:space="preserve">§</w:t>
      </w:r>
      <w:r>
        <w:rPr>
          <w:color w:val="000000"/>
          <w:rFonts w:ascii="Times New Roman" w:hAnsi="Times New Roman"/>
          <w:sz w:val="24"/>
        </w:rPr>
        <w:t xml:space="preserve">1.101, A, 8, 14 and 15</w:t>
      </w:r>
      <w:r>
        <w:rPr>
          <w:color w:val="000000"/>
          <w:rFonts w:ascii="Times New Roman" w:hAnsi="Times New Roman"/>
          <w:sz w:val="24"/>
        </w:rPr>
        <w:t xml:space="preserve">).  The alternative proposal is also reasonable.  However, in light of competitive changes, Staff would prefer not to establish a regulatory asset if the expenditures can be properly capitalized to other plant accounts.</w:t>
      </w:r>
      <w:r>
        <w:rPr/>
      </w:r>
    </w:p>
    <w:p>
      <w:r>
        <w:rPr>
          <w:color w:val="000000"/>
          <w:rFonts w:ascii="Times New Roman" w:hAnsi="Times New Roman"/>
          <w:sz w:val="24"/>
        </w:rPr>
        <w:t xml:space="preserve">Staff agrees with the proposal to begin amortization of the settlement payments one month after the payments are made.  The proposed amortization period through the year 2035 is reasonable. </w:t>
      </w:r>
      <w:r>
        <w:rPr/>
      </w:r>
    </w:p>
    <w:p>
      <w:r>
        <w:rPr>
          <w:color w:val="000000"/>
          <w:rFonts w:ascii="Times New Roman" w:hAnsi="Times New Roman"/>
          <w:sz w:val="24"/>
        </w:rPr>
        <w:t xml:space="preserve">Idaho Power’s base rates will not change prior to January 1, 2000 as reflected in the rate moratorium adopted in Order No. 26216, Case No. IPC-E-95-11.  Therefore, the capitalization of the settlement payments and the amortization of these costs will not increase current rates before the year 2000.  The amortization costs will be reflected in the earnings test during the moratorium.  The actual return will be lower by including the amortization costs thereby impacting the return used to determine if Investment Tax Credits are utilized to attain an 11.5% return on year-end common equity or if sharing occurs when returns are above 11.75%.</w:t>
      </w:r>
      <w:r>
        <w:rPr/>
      </w:r>
    </w:p>
    <w:p>
      <w:r>
        <w:rPr>
          <w:color w:val="000000"/>
          <w:rFonts w:ascii="Times New Roman" w:hAnsi="Times New Roman"/>
          <w:sz w:val="24"/>
        </w:rPr>
        <w:t xml:space="preserve">Idaho Power’s proposal establishes a regulatory asset with the deferred credit for the four annual payments of $1,625,000 beginning in 1997.  When the annual payments are made, the regulatory asset associated with that payment will be removed from Idaho Power’s accounts as the expenditure is capitalized to plant in service.  If a rate case is filed prior to the time this regulatory asset is removed, Staff will review the timing of the remaining payment and probably recommend that the regulatory asset </w:t>
      </w:r>
      <w:r>
        <w:rPr>
          <w:color w:val="000000"/>
          <w:rFonts w:ascii="Times New Roman" w:hAnsi="Times New Roman"/>
          <w:sz w:val="24"/>
        </w:rPr>
        <w:t xml:space="preserve">not</w:t>
      </w:r>
      <w:r>
        <w:rPr>
          <w:color w:val="000000"/>
          <w:rFonts w:ascii="Times New Roman" w:hAnsi="Times New Roman"/>
          <w:sz w:val="24"/>
        </w:rPr>
        <w:t xml:space="preserve"> be included in rate base unless it is offset by Idaho Power’s liability to the Tribe.</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Capitalization</w:t>
      </w:r>
      <w:r>
        <w:rPr/>
      </w:r>
    </w:p>
    <w:p>
      <w:r>
        <w:rPr>
          <w:color w:val="000000"/>
          <w:rFonts w:ascii="Times New Roman" w:hAnsi="Times New Roman"/>
          <w:sz w:val="24"/>
        </w:rPr>
        <w:t xml:space="preserve">Should the payments be capitalized to plant in service as requested in the application and supported by Staff?</w:t>
      </w:r>
      <w:r>
        <w:rPr/>
      </w:r>
    </w:p>
    <w:p>
      <w:r>
        <w:rPr/>
      </w:r>
    </w:p>
    <w:p>
      <w:r>
        <w:rPr>
          <w:color w:val="000000"/>
          <w:rFonts w:ascii="Times New Roman" w:hAnsi="Times New Roman"/>
          <w:sz w:val="24"/>
        </w:rPr>
        <w:t xml:space="preserve">Or should the payments be capitalized as a regulatory asset (alternative proposal)?</w:t>
      </w:r>
      <w:r>
        <w:rPr/>
      </w:r>
    </w:p>
    <w:p>
      <w:r>
        <w:rPr/>
      </w:r>
    </w:p>
    <w:p>
      <w:r>
        <w:rPr>
          <w:color w:val="000000"/>
          <w:rFonts w:ascii="Times New Roman" w:hAnsi="Times New Roman"/>
          <w:sz w:val="24"/>
        </w:rPr>
        <w:t xml:space="preserve">Or do you wish some other treatment (i.e. not capitalized but expensed as paid)?</w:t>
      </w:r>
      <w:r>
        <w:rPr/>
      </w:r>
    </w:p>
    <w:p>
      <w:r>
        <w:rPr/>
      </w:r>
    </w:p>
    <w:p>
      <w:r>
        <w:rPr>
          <w:color w:val="000000"/>
          <w:rFonts w:ascii="Times New Roman" w:hAnsi="Times New Roman"/>
          <w:sz w:val="24"/>
        </w:rPr>
        <w:t xml:space="preserve">Amortization</w:t>
      </w:r>
      <w:r>
        <w:rPr/>
      </w:r>
    </w:p>
    <w:p>
      <w:r>
        <w:rPr>
          <w:color w:val="000000"/>
          <w:rFonts w:ascii="Times New Roman" w:hAnsi="Times New Roman"/>
          <w:sz w:val="24"/>
        </w:rPr>
        <w:t xml:space="preserve">Should the amortizations (if capitalization is accepted) begin one month after each payment is made?</w:t>
      </w:r>
      <w:r>
        <w:rPr/>
      </w:r>
    </w:p>
    <w:p>
      <w:r>
        <w:rPr/>
      </w:r>
    </w:p>
    <w:p>
      <w:r>
        <w:rPr>
          <w:color w:val="000000"/>
          <w:rFonts w:ascii="Times New Roman" w:hAnsi="Times New Roman"/>
          <w:sz w:val="24"/>
        </w:rPr>
        <w:t xml:space="preserve">Do you accept the amortization period through the year 2035?</w:t>
      </w:r>
      <w:r>
        <w:rPr/>
      </w:r>
    </w:p>
    <w:p>
      <w:r>
        <w:rPr/>
      </w:r>
    </w:p>
    <w:p>
      <w:r>
        <w:rPr/>
      </w:r>
    </w:p>
    <w:p>
      <w:r>
        <w:rPr>
          <w:color w:val="000000"/>
          <w:rFonts w:ascii="Times New Roman" w:hAnsi="Times New Roman"/>
          <w:sz w:val="24"/>
        </w:rPr>
        <w:t xml:space="preserve">Earnings Review</w:t>
      </w:r>
      <w:r>
        <w:rPr/>
      </w:r>
    </w:p>
    <w:p>
      <w:r>
        <w:rPr>
          <w:color w:val="000000"/>
          <w:rFonts w:ascii="Times New Roman" w:hAnsi="Times New Roman"/>
          <w:sz w:val="24"/>
        </w:rPr>
        <w:t xml:space="preserve">Do you wish to comment on including the amortization cost in the earnings review?</w:t>
      </w:r>
      <w:r>
        <w:rPr/>
      </w:r>
    </w:p>
    <w:p>
      <w:r>
        <w:rPr/>
      </w:r>
    </w:p>
    <w:p>
      <w:r>
        <w:rPr/>
      </w:r>
    </w:p>
    <w:p>
      <w:r>
        <w:rPr/>
      </w:r>
    </w:p>
    <w:p>
      <w:r>
        <w:rPr/>
      </w:r>
    </w:p>
    <w:p>
      <w:r>
        <w:rPr/>
      </w:r>
    </w:p>
    <w:p>
      <w:r>
        <w:rPr/>
      </w:r>
    </w:p>
    <w:p>
      <w:r>
        <w:rPr/>
      </w:r>
    </w:p>
    <w:p>
      <w:r>
        <w:rPr>
          <w:color w:val="000000"/>
          <w:rFonts w:ascii="Times New Roman" w:hAnsi="Times New Roman"/>
          <w:sz w:val="24"/>
        </w:rPr>
        <w:t xml:space="preserve">________________________Terri Carlock</w:t>
      </w:r>
      <w:r>
        <w:rPr/>
      </w:r>
    </w:p>
    <w:p>
      <w:r>
        <w:rPr/>
      </w:r>
    </w:p>
    <w:p>
      <w:r>
        <w:rPr/>
      </w:r>
    </w:p>
    <w:p>
      <w:r>
        <w:rPr/>
      </w:r>
    </w:p>
    <w:p>
      <w:r>
        <w:rPr/>
      </w:r>
    </w:p>
    <w:p>
      <w:r>
        <w:rPr/>
      </w:r>
    </w:p>
    <w:p>
      <w:r>
        <w:rPr>
          <w:color w:val="000000"/>
          <w:rFonts w:ascii="Times New Roman" w:hAnsi="Times New Roman"/>
          <w:sz w:val="16"/>
        </w:rPr>
        <w:t xml:space="preserve">tc\ipc\ipce963.dm</w:t>
      </w:r>
      <w:r>
        <w:rPr/>
      </w:r>
    </w:p>
    <w:p>
      <w:r>
        <w:rPr/>
      </w:r>
    </w:p>
    <w:p>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