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INCLUDE IN ITS POWER COST ADJUST­MENT COMPUTATIONS THE FIRM POWER PURCHASE FROM ARIZONA PUBLIC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IPC-E-96-18</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23, 1996, the Idaho Power Company (Idaho Power; Company) filed an Application for an Order allowing the Company to include a firm power purchase from Arizona Public Service (APS)in its Power Cost Adjustment (PCA) mechanism.</w:t>
      </w:r>
      <w:r>
        <w:rPr>
          <w:vertAlign w:val="baseline"/>
        </w:rPr>
      </w:r>
    </w:p>
    <w:p>
      <w:r>
        <w:rPr>
          <w:color w:val="000000"/>
          <w:rFonts w:ascii="Times New Roman" w:hAnsi="Times New Roman"/>
          <w:sz w:val="24"/>
          <w:vertAlign w:val="baseline"/>
        </w:rPr>
        <w:t xml:space="preserve">In Case No. IPC-E-92-25, by Order No. 24806, the Commission authorized the implementation of the PCA which tracks variations in the Company’s power supply costs and, accordingly, adjusts rates annually.  Pursuant to Order No. 24806, the Company is required to apply to the Commission for approval to include in its PCA computations, any long-term capacity purchases.  Idaho Power states that it has entered into a five-year capacity purchase with APS.  The Company notes that its integrated resource plan published in June 1995 indicated that the Company could expect capacity and energy deficits to occur in December and January beginning in 1995 and continuing until the expiration of seasonal power exchanges with Seattle City Light and Montana Power Company by the year 2003.  The forecasts included with the 1995 IRP illustrate a need for winter resources, Idaho Power states.  As the IRP indicates, the Company planned to meet these deficits by relying on market purchases.  The Company notes that in Case No. IPC-E-95-9, it argued that the standard length of market purchases does not exceed five years.  </w:t>
      </w:r>
      <w:r>
        <w:rPr>
          <w:vertAlign w:val="baseline"/>
        </w:rPr>
      </w:r>
    </w:p>
    <w:p>
      <w:r>
        <w:rPr>
          <w:color w:val="000000"/>
          <w:rFonts w:ascii="Times New Roman" w:hAnsi="Times New Roman"/>
          <w:sz w:val="24"/>
          <w:vertAlign w:val="baseline"/>
        </w:rPr>
        <w:t xml:space="preserve">Idaho Power states that it has negotiated a five-year firm power supply commitment from APS.  The rate for capacity throughout the term of the contract is $1.50/kW/month.  The energy rate for deliveries in 1996-97 is $18.69 per megawatt hour.  These prices include transmission to Idaho Power’s system at the Borah and/or Brady substations in southern Idaho or at any other point as the parties may agree.</w:t>
      </w:r>
      <w:r>
        <w:rPr>
          <w:vertAlign w:val="baseline"/>
        </w:rPr>
      </w:r>
    </w:p>
    <w:p>
      <w:r>
        <w:rPr>
          <w:color w:val="000000"/>
          <w:rFonts w:ascii="Times New Roman" w:hAnsi="Times New Roman"/>
          <w:sz w:val="24"/>
          <w:vertAlign w:val="baseline"/>
        </w:rPr>
        <w:t xml:space="preserve">Idaho Power contends that at the time it decided to enter into the purchase agreement with APS, market prices for capacity ranged from 3 to 6 mills and the historical spot market price for non-firm energy was approximately 21 mills.  The Company asserts that these prices were consistent with the Company’s market research at the time which indicated that the long-term price for five year base load contracts in this region was in the 23 to 28 mill range.  The rate of 22.1 mills that Idaho Power was able to negotiate with APS, both for capacity and energy, falls within those parameters, Idaho Power states.  The Company further notes that the APS power will be available to cover the winter deficits forecasted by the IRP and could be marketed off-system when not needed to meet loads or maintain system reliability.  Finally, the Company asserts that the relatively short five-year contract term provides desirable flexibility during a time of uncertainty concerning supply requirements.  Idaho Power notes that it is able to wheel the power to southern Idaho by virtue of APS’s transmission rights to the Borah/Brady substations which APS acquired from PacifiCorp.  </w:t>
      </w:r>
      <w:r>
        <w:rPr>
          <w:vertAlign w:val="baseline"/>
        </w:rPr>
      </w:r>
    </w:p>
    <w:p>
      <w:r>
        <w:rPr>
          <w:color w:val="000000"/>
          <w:rFonts w:ascii="Times New Roman" w:hAnsi="Times New Roman"/>
          <w:sz w:val="24"/>
          <w:vertAlign w:val="baseline"/>
        </w:rPr>
        <w:t xml:space="preserve">YOU ARE FURTHER NOTIFIED that Idaho Power’s Application, together with attachments, have been filed with the commission and are available for public inspection during regular business hours at the Commission offices; 472 W.  Washington Street, Boise, Idaho.</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SECRETARYLARRY D.  RIPLEY, SENIOR ATTORNEY</w:t>
      </w:r>
      <w:r>
        <w:rPr>
          <w:vertAlign w:val="baseline"/>
        </w:rPr>
      </w:r>
    </w:p>
    <w:p>
      <w:r>
        <w:rPr>
          <w:color w:val="000000"/>
          <w:rFonts w:ascii="Times New Roman" w:hAnsi="Times New Roman"/>
          <w:sz w:val="20"/>
          <w:vertAlign w:val="baseline"/>
        </w:rPr>
        <w:t xml:space="preserve"> IDAHO PUBLIC UTILITIES COMMISSIONJAMES R.  THOMPSON, ATTORNEY</w:t>
      </w:r>
      <w:r>
        <w:rPr>
          <w:vertAlign w:val="baseline"/>
        </w:rPr>
      </w:r>
    </w:p>
    <w:p>
      <w:r>
        <w:rPr>
          <w:color w:val="000000"/>
          <w:rFonts w:ascii="Times New Roman" w:hAnsi="Times New Roman"/>
          <w:sz w:val="20"/>
          <w:vertAlign w:val="baseline"/>
        </w:rPr>
        <w:t xml:space="preserve">PO BOX 83720IDAHO POWER COMPANY</w:t>
      </w:r>
      <w:r>
        <w:rPr>
          <w:vertAlign w:val="baseline"/>
        </w:rPr>
      </w:r>
    </w:p>
    <w:p>
      <w:r>
        <w:rPr>
          <w:color w:val="000000"/>
          <w:rFonts w:ascii="Times New Roman" w:hAnsi="Times New Roman"/>
          <w:sz w:val="20"/>
          <w:vertAlign w:val="baseline"/>
        </w:rPr>
        <w:t xml:space="preserve">BOISE, IDAHO  83720-0074PO Box 70</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vld/N:IPC-E-96-18.bp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