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ACCOUNTING ORDER AUTHORIZING THE AMORTIZATION OF CERTAIN GENERAL PLANT ACCOUNTS.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IPC-E-97-4</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 of Application, Notice of Modified Procedure and Notice of Comment/Protest Deadline in Case No. IPC-E-97-4 issued on April 18, 1997, submits the following comments.</w:t>
      </w:r>
      <w:r>
        <w:rPr/>
      </w:r>
    </w:p>
    <w:p>
      <w:r>
        <w:rPr>
          <w:color w:val="000000"/>
          <w:rFonts w:ascii="Times New Roman" w:hAnsi="Times New Roman"/>
          <w:sz w:val="24"/>
        </w:rPr>
        <w:t xml:space="preserve">Idaho Power Company (IPC) requests an accounting order authorizing</w:t>
      </w:r>
      <w:r>
        <w:rPr/>
      </w:r>
    </w:p>
    <w:p>
      <w:r>
        <w:rPr>
          <w:color w:val="000000"/>
          <w:rFonts w:ascii="Times New Roman" w:hAnsi="Times New Roman"/>
          <w:sz w:val="24"/>
        </w:rPr>
        <w:t xml:space="preserve">the Company to amortize certain general plant accounts.  The accounts included in the</w:t>
      </w:r>
      <w:r>
        <w:rPr/>
      </w:r>
    </w:p>
    <w:p>
      <w:r>
        <w:rPr>
          <w:color w:val="000000"/>
          <w:rFonts w:ascii="Times New Roman" w:hAnsi="Times New Roman"/>
          <w:sz w:val="24"/>
        </w:rPr>
        <w:t xml:space="preserve">proposed change include the following:</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color w:val="000000"/>
          <w:rFonts w:ascii="Times New Roman" w:hAnsi="Times New Roman"/>
          <w:sz w:val="20"/>
        </w:rPr>
        <w:t xml:space="preserve">ACCOUNT</w:t>
      </w:r>
      <w:r>
        <w:rPr>
          <w:color w:val="000000"/>
          <w:rFonts w:ascii="Times New Roman" w:hAnsi="Times New Roman"/>
          <w:sz w:val="20"/>
        </w:rPr>
        <w:t xml:space="preserve">                   </w:t>
      </w:r>
      <w:r>
        <w:rPr>
          <w:color w:val="000000"/>
          <w:rFonts w:ascii="Times New Roman" w:hAnsi="Times New Roman"/>
          <w:sz w:val="20"/>
        </w:rPr>
        <w:t xml:space="preserve">DESCRIPTION</w:t>
      </w:r>
      <w:r>
        <w:rPr/>
      </w:r>
    </w:p>
    <w:p>
      <w:r>
        <w:rPr>
          <w:color w:val="000000"/>
          <w:rFonts w:ascii="Times New Roman" w:hAnsi="Times New Roman"/>
          <w:sz w:val="20"/>
        </w:rPr>
        <w:t xml:space="preserve">                          391.10             Office Furniture &amp; Equipment</w:t>
      </w:r>
      <w:r>
        <w:rPr/>
      </w:r>
    </w:p>
    <w:p>
      <w:r>
        <w:rPr>
          <w:color w:val="000000"/>
          <w:rFonts w:ascii="Times New Roman" w:hAnsi="Times New Roman"/>
          <w:sz w:val="20"/>
        </w:rPr>
        <w:t xml:space="preserve">                          391.20             Computer Equipment (Excluding Mainframe Hardware)</w:t>
      </w:r>
      <w:r>
        <w:rPr/>
      </w:r>
    </w:p>
    <w:p>
      <w:r>
        <w:rPr>
          <w:color w:val="000000"/>
          <w:rFonts w:ascii="Times New Roman" w:hAnsi="Times New Roman"/>
          <w:sz w:val="20"/>
        </w:rPr>
        <w:t xml:space="preserve">                          393.00             Stores Equipment</w:t>
      </w:r>
      <w:r>
        <w:rPr/>
      </w:r>
    </w:p>
    <w:p>
      <w:r>
        <w:rPr>
          <w:color w:val="000000"/>
          <w:rFonts w:ascii="Times New Roman" w:hAnsi="Times New Roman"/>
          <w:sz w:val="20"/>
        </w:rPr>
        <w:t xml:space="preserve">                          394.00             Tools, Shop &amp; Garage Equipment</w:t>
      </w:r>
      <w:r>
        <w:rPr/>
      </w:r>
    </w:p>
    <w:p>
      <w:r>
        <w:rPr>
          <w:color w:val="000000"/>
          <w:rFonts w:ascii="Times New Roman" w:hAnsi="Times New Roman"/>
          <w:sz w:val="20"/>
        </w:rPr>
        <w:t xml:space="preserve">                          395.00             Laboratory Equipment</w:t>
      </w:r>
      <w:r>
        <w:rPr/>
      </w:r>
    </w:p>
    <w:p>
      <w:r>
        <w:rPr>
          <w:color w:val="000000"/>
          <w:rFonts w:ascii="Times New Roman" w:hAnsi="Times New Roman"/>
          <w:sz w:val="20"/>
        </w:rPr>
        <w:t xml:space="preserve">                          397.00             Communication Equipment</w:t>
      </w:r>
      <w:r>
        <w:rPr/>
      </w:r>
    </w:p>
    <w:p>
      <w:r>
        <w:rPr>
          <w:color w:val="000000"/>
          <w:rFonts w:ascii="Times New Roman" w:hAnsi="Times New Roman"/>
          <w:sz w:val="20"/>
        </w:rPr>
        <w:t xml:space="preserve">                          398.00             Miscellaneous Equipment</w:t>
      </w:r>
      <w:r>
        <w:rPr/>
      </w:r>
    </w:p>
    <w:p>
      <w:r>
        <w:rPr/>
      </w:r>
    </w:p>
    <w:p>
      <w:r>
        <w:rPr>
          <w:color w:val="000000"/>
          <w:rFonts w:ascii="Times New Roman" w:hAnsi="Times New Roman"/>
          <w:sz w:val="24"/>
        </w:rPr>
        <w:t xml:space="preserve">The proposal would allow IPC to account for additions and retirements at</w:t>
      </w:r>
      <w:r>
        <w:rPr/>
      </w:r>
    </w:p>
    <w:p>
      <w:r>
        <w:rPr>
          <w:color w:val="000000"/>
          <w:rFonts w:ascii="Times New Roman" w:hAnsi="Times New Roman"/>
          <w:sz w:val="24"/>
        </w:rPr>
        <w:t xml:space="preserve">the vintage level for each account rather than on an individual item basis.  The items</w:t>
      </w:r>
      <w:r>
        <w:rPr/>
      </w:r>
    </w:p>
    <w:p>
      <w:r>
        <w:rPr>
          <w:color w:val="000000"/>
          <w:rFonts w:ascii="Times New Roman" w:hAnsi="Times New Roman"/>
          <w:sz w:val="24"/>
        </w:rPr>
        <w:t xml:space="preserve">would be recorded at the vintage level and amortized over the current life for the account.</w:t>
      </w:r>
      <w:r>
        <w:rPr/>
      </w:r>
    </w:p>
    <w:p>
      <w:r>
        <w:rPr>
          <w:color w:val="000000"/>
          <w:rFonts w:ascii="Times New Roman" w:hAnsi="Times New Roman"/>
          <w:sz w:val="24"/>
        </w:rPr>
        <w:t xml:space="preserve">When each vintage group in the primary account becomes fully depreciated, the original</w:t>
      </w:r>
      <w:r>
        <w:rPr/>
      </w:r>
    </w:p>
    <w:p>
      <w:r>
        <w:rPr>
          <w:color w:val="000000"/>
          <w:rFonts w:ascii="Times New Roman" w:hAnsi="Times New Roman"/>
          <w:sz w:val="24"/>
        </w:rPr>
        <w:t xml:space="preserve">cost of the vintage group is retired from plant in service.  No interim retirements would</w:t>
      </w:r>
      <w:r>
        <w:rPr/>
      </w:r>
    </w:p>
    <w:p>
      <w:r>
        <w:rPr>
          <w:color w:val="000000"/>
          <w:rFonts w:ascii="Times New Roman" w:hAnsi="Times New Roman"/>
          <w:sz w:val="24"/>
        </w:rPr>
        <w:t xml:space="preserve">be recorded.</w:t>
      </w:r>
      <w:r>
        <w:rPr/>
      </w:r>
    </w:p>
    <w:p>
      <w:r>
        <w:rPr>
          <w:color w:val="000000"/>
          <w:rFonts w:ascii="Times New Roman" w:hAnsi="Times New Roman"/>
          <w:sz w:val="24"/>
        </w:rPr>
        <w:t xml:space="preserve">The Company’s request is revenue neutral at this time since the accounts</w:t>
      </w:r>
      <w:r>
        <w:rPr/>
      </w:r>
    </w:p>
    <w:p>
      <w:r>
        <w:rPr>
          <w:color w:val="000000"/>
          <w:rFonts w:ascii="Times New Roman" w:hAnsi="Times New Roman"/>
          <w:sz w:val="24"/>
        </w:rPr>
        <w:t xml:space="preserve">will be amortized using the currently approved depreciation rates.  Embedded plant that</w:t>
      </w:r>
      <w:r>
        <w:rPr/>
      </w:r>
    </w:p>
    <w:p>
      <w:r>
        <w:rPr>
          <w:color w:val="000000"/>
          <w:rFonts w:ascii="Times New Roman" w:hAnsi="Times New Roman"/>
          <w:sz w:val="24"/>
        </w:rPr>
        <w:t xml:space="preserve">is fully depreciated will be removed from the books by crediting the asset account and</w:t>
      </w:r>
      <w:r>
        <w:rPr/>
      </w:r>
    </w:p>
    <w:p>
      <w:r>
        <w:rPr>
          <w:color w:val="000000"/>
          <w:rFonts w:ascii="Times New Roman" w:hAnsi="Times New Roman"/>
          <w:sz w:val="24"/>
        </w:rPr>
        <w:t xml:space="preserve">debiting the reserve account, leaving rate base unchanged.</w:t>
      </w:r>
      <w:r>
        <w:rPr/>
      </w:r>
    </w:p>
    <w:p>
      <w:r>
        <w:rPr>
          <w:color w:val="000000"/>
          <w:rFonts w:ascii="Times New Roman" w:hAnsi="Times New Roman"/>
          <w:sz w:val="24"/>
        </w:rPr>
        <w:t xml:space="preserve">The proposed accounting for general plant in service at the vintage level</w:t>
      </w:r>
      <w:r>
        <w:rPr/>
      </w:r>
    </w:p>
    <w:p>
      <w:r>
        <w:rPr>
          <w:color w:val="000000"/>
          <w:rFonts w:ascii="Times New Roman" w:hAnsi="Times New Roman"/>
          <w:sz w:val="24"/>
        </w:rPr>
        <w:t xml:space="preserve">is less labor intensive than tracking each item specifically.  This proposal is consistent</w:t>
      </w:r>
      <w:r>
        <w:rPr/>
      </w:r>
    </w:p>
    <w:p>
      <w:r>
        <w:rPr>
          <w:color w:val="000000"/>
          <w:rFonts w:ascii="Times New Roman" w:hAnsi="Times New Roman"/>
          <w:sz w:val="24"/>
        </w:rPr>
        <w:t xml:space="preserve">with the Company’s goals of reducing costs and committing employees time to those</w:t>
      </w:r>
      <w:r>
        <w:rPr/>
      </w:r>
    </w:p>
    <w:p>
      <w:r>
        <w:rPr>
          <w:color w:val="000000"/>
          <w:rFonts w:ascii="Times New Roman" w:hAnsi="Times New Roman"/>
          <w:sz w:val="24"/>
        </w:rPr>
        <w:t xml:space="preserve">activities that increase efficiency.  The plant items are high in volume but low in cost</w:t>
      </w:r>
      <w:r>
        <w:rPr/>
      </w:r>
    </w:p>
    <w:p>
      <w:r>
        <w:rPr>
          <w:color w:val="000000"/>
          <w:rFonts w:ascii="Times New Roman" w:hAnsi="Times New Roman"/>
          <w:sz w:val="24"/>
        </w:rPr>
        <w:t xml:space="preserve">for each unit.  The accounts listed above totaled $49,888,056 at December 31, 1996 or</w:t>
      </w:r>
      <w:r>
        <w:rPr/>
      </w:r>
    </w:p>
    <w:p>
      <w:r>
        <w:rPr>
          <w:color w:val="000000"/>
          <w:rFonts w:ascii="Times New Roman" w:hAnsi="Times New Roman"/>
          <w:sz w:val="24"/>
        </w:rPr>
        <w:t xml:space="preserve">2.0% of the $2,538,019,016 total plant in service as of that date.  There were 55,364</w:t>
      </w:r>
      <w:r>
        <w:rPr/>
      </w:r>
    </w:p>
    <w:p>
      <w:r>
        <w:rPr>
          <w:color w:val="000000"/>
          <w:rFonts w:ascii="Times New Roman" w:hAnsi="Times New Roman"/>
          <w:sz w:val="24"/>
        </w:rPr>
        <w:t xml:space="preserve">total units in all the accounts listed above as of  December 31, 1996, for an average</w:t>
      </w:r>
      <w:r>
        <w:rPr/>
      </w:r>
    </w:p>
    <w:p>
      <w:r>
        <w:rPr>
          <w:color w:val="000000"/>
          <w:rFonts w:ascii="Times New Roman" w:hAnsi="Times New Roman"/>
          <w:sz w:val="24"/>
        </w:rPr>
        <w:t xml:space="preserve">price for each unit of $901.</w:t>
      </w:r>
      <w:r>
        <w:rPr/>
      </w:r>
    </w:p>
    <w:p>
      <w:r>
        <w:rPr>
          <w:color w:val="000000"/>
          <w:rFonts w:ascii="Times New Roman" w:hAnsi="Times New Roman"/>
          <w:sz w:val="24"/>
        </w:rPr>
        <w:t xml:space="preserve">The Commission has earlier approved this accounting treatment for the</w:t>
      </w:r>
      <w:r>
        <w:rPr/>
      </w:r>
    </w:p>
    <w:p>
      <w:r>
        <w:rPr>
          <w:color w:val="000000"/>
          <w:rFonts w:ascii="Times New Roman" w:hAnsi="Times New Roman"/>
          <w:sz w:val="24"/>
        </w:rPr>
        <w:t xml:space="preserve">same accounts for Washington Water Power in Order No. 25102 regarding Case No.</w:t>
      </w:r>
      <w:r>
        <w:rPr/>
      </w:r>
    </w:p>
    <w:p>
      <w:r>
        <w:rPr>
          <w:color w:val="000000"/>
          <w:rFonts w:ascii="Times New Roman" w:hAnsi="Times New Roman"/>
          <w:sz w:val="24"/>
        </w:rPr>
        <w:t xml:space="preserve">WWP-E-93-9.  The Company appears to have adequate compensating internal controls</w:t>
      </w:r>
      <w:r>
        <w:rPr/>
      </w:r>
    </w:p>
    <w:p>
      <w:r>
        <w:rPr>
          <w:color w:val="000000"/>
          <w:rFonts w:ascii="Times New Roman" w:hAnsi="Times New Roman"/>
          <w:sz w:val="24"/>
        </w:rPr>
        <w:t xml:space="preserve">to prevent large losses to occur in the accounts in question to go undetected.</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change in accounting and depreciation</w:t>
      </w:r>
      <w:r>
        <w:rPr/>
      </w:r>
    </w:p>
    <w:p>
      <w:r>
        <w:rPr>
          <w:color w:val="000000"/>
          <w:rFonts w:ascii="Times New Roman" w:hAnsi="Times New Roman"/>
          <w:sz w:val="24"/>
        </w:rPr>
        <w:t xml:space="preserve">for these accounts.  It is a cost and labor saving measure that is revenue neutral for rate</w:t>
      </w:r>
      <w:r>
        <w:rPr/>
      </w:r>
    </w:p>
    <w:p>
      <w:r>
        <w:rPr>
          <w:color w:val="000000"/>
          <w:rFonts w:ascii="Times New Roman" w:hAnsi="Times New Roman"/>
          <w:sz w:val="24"/>
        </w:rPr>
        <w:t xml:space="preserve">base and depreciation.</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1997.</w:t>
      </w:r>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t>
      </w:r>
      <w:r>
        <w:rPr/>
      </w:r>
    </w:p>
    <w:p>
      <w:r>
        <w:rPr>
          <w:color w:val="000000"/>
          <w:rFonts w:ascii="Times New Roman" w:hAnsi="Times New Roman"/>
          <w:sz w:val="24"/>
        </w:rPr>
        <w:t xml:space="preserve">Kent Schneider</w:t>
      </w:r>
      <w:r>
        <w:rPr/>
      </w:r>
    </w:p>
    <w:p>
      <w:r>
        <w:rPr>
          <w:color w:val="000000"/>
          <w:rFonts w:ascii="Times New Roman" w:hAnsi="Times New Roman"/>
          <w:sz w:val="16"/>
        </w:rPr>
        <w:t xml:space="preserve">SW:KS3:gdk/umisc/comments/ipce974.swk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