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1996 COMPLIANCE FILING OF IDAHO POWER COMPANY AS REQUIRED BY IPUC ORDER NO. 26216 ISSUED IN CASE NO. IPC-E-95-11.</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IPC-E-97-5</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April 1, 1997, the Idaho Power Company (Idaho Power; Company) in Case No. IPC-E-97-5 made a com­pliance filing with the Idaho Public Utilities Commission (Commission).  The filing consists of documentation of the Company’s earnings for the year 1996.  The Company’s compliance filing is a result of Order No. 26216 issued by the Commission in Case No. IPC-E-95-11 on October 20, 1995.  Pursuant to the Settlement Agreement adopted by the Commission in that case, Idaho Power is permitted to accelerate the amortization of its Accumulated Deferred Investment Tax Credit if the Company’s current earnings fall below 11.5% on year end common equity.  In addi­tion, the Company is required to refund 50% of all earnings above an 11.75% return on year end common equity.  </w:t>
      </w:r>
      <w:r>
        <w:rPr>
          <w:vertAlign w:val="baseline"/>
        </w:rPr>
      </w:r>
    </w:p>
    <w:p>
      <w:r>
        <w:rPr>
          <w:color w:val="000000"/>
          <w:rFonts w:ascii="Times New Roman" w:hAnsi="Times New Roman"/>
          <w:sz w:val="24"/>
          <w:vertAlign w:val="baseline"/>
        </w:rPr>
        <w:t xml:space="preserve">Idaho Power reports that for the year 1996 the Company earned a return on common equity of 12.55% for its Idaho jurisdiction.  As calculated by the Company, this is equivalent to a customer shared amount of $4,890,518.  In computing the amount of revenue available for determining the reduction in the Company’s rates however, Idaho Power submits that the appropriate revenue available for refund is $3,474,622.  This lower amount is calculated by deducting from the revenue attributable to refund ($4,890,518) the interest attributable to Demand Side Management (DSM) deferrals for the year 1996 ($1,415,896).</w:t>
      </w:r>
      <w:r>
        <w:rPr>
          <w:vertAlign w:val="baseline"/>
        </w:rPr>
      </w:r>
    </w:p>
    <w:p>
      <w:r>
        <w:rPr>
          <w:color w:val="000000"/>
          <w:rFonts w:ascii="Times New Roman" w:hAnsi="Times New Roman"/>
          <w:sz w:val="24"/>
          <w:vertAlign w:val="baseline"/>
        </w:rPr>
        <w:t xml:space="preserve">The Company contends that it is inappropriate to include interest earned on the 1996 Demand Side Management deferred balance in the revenues attributable for refund since this balance has not yet been reviewed or approved by the Commission.  The DSM deferrals are attributed to the following Commission Orders and DSM programs:</w:t>
      </w:r>
      <w:r>
        <w:rPr>
          <w:vertAlign w:val="baseline"/>
        </w:rPr>
      </w:r>
    </w:p>
    <w:p>
      <w:r>
        <w:rPr>
          <w:color w:val="000000"/>
          <w:rFonts w:ascii="Times New Roman" w:hAnsi="Times New Roman"/>
          <w:sz w:val="24"/>
          <w:vertAlign w:val="baseline"/>
        </w:rPr>
        <w:t xml:space="preserve">Order No. 24913Commercial Lighting Energy Efficiency Program</w:t>
      </w:r>
      <w:r>
        <w:rPr>
          <w:vertAlign w:val="baseline"/>
        </w:rPr>
      </w:r>
    </w:p>
    <w:p>
      <w:r>
        <w:rPr>
          <w:color w:val="000000"/>
          <w:rFonts w:ascii="Times New Roman" w:hAnsi="Times New Roman"/>
          <w:sz w:val="24"/>
          <w:vertAlign w:val="baseline"/>
        </w:rPr>
        <w:t xml:space="preserve">Order No. 23724Industrial Conservation Program</w:t>
      </w:r>
      <w:r>
        <w:rPr>
          <w:vertAlign w:val="baseline"/>
        </w:rPr>
      </w:r>
    </w:p>
    <w:p>
      <w:r>
        <w:rPr>
          <w:color w:val="000000"/>
          <w:rFonts w:ascii="Times New Roman" w:hAnsi="Times New Roman"/>
          <w:sz w:val="24"/>
          <w:vertAlign w:val="baseline"/>
        </w:rPr>
        <w:t xml:space="preserve">Order Nos. 24408, 23454Conservation Program for Manufactured Homes</w:t>
      </w:r>
      <w:r>
        <w:rPr>
          <w:vertAlign w:val="baseline"/>
        </w:rPr>
      </w:r>
    </w:p>
    <w:p>
      <w:r>
        <w:rPr>
          <w:color w:val="000000"/>
          <w:rFonts w:ascii="Times New Roman" w:hAnsi="Times New Roman"/>
          <w:sz w:val="24"/>
          <w:vertAlign w:val="baseline"/>
        </w:rPr>
        <w:t xml:space="preserve">Order No. 24858Irrigation Conservation Program</w:t>
      </w:r>
      <w:r>
        <w:rPr>
          <w:vertAlign w:val="baseline"/>
        </w:rPr>
      </w:r>
    </w:p>
    <w:p>
      <w:r>
        <w:rPr>
          <w:color w:val="000000"/>
          <w:rFonts w:ascii="Times New Roman" w:hAnsi="Times New Roman"/>
          <w:sz w:val="24"/>
          <w:vertAlign w:val="baseline"/>
        </w:rPr>
        <w:t xml:space="preserve">Order No. 22893Design Excellence Award Program</w:t>
      </w:r>
      <w:r>
        <w:rPr>
          <w:vertAlign w:val="baseline"/>
        </w:rPr>
      </w:r>
    </w:p>
    <w:p>
      <w:r>
        <w:rPr>
          <w:color w:val="000000"/>
          <w:rFonts w:ascii="Times New Roman" w:hAnsi="Times New Roman"/>
          <w:sz w:val="24"/>
          <w:vertAlign w:val="baseline"/>
        </w:rPr>
        <w:t xml:space="preserve">The Company maintains that the status quo can be retained for all parties—the Commission, Idaho Power, and the Company’s customers, by simply deducting the interest attributable to the 1996 DSM interest from the earnings calculation and reducing the outstanding balance by an equal amount.</w:t>
      </w:r>
      <w:r>
        <w:rPr>
          <w:vertAlign w:val="baseline"/>
        </w:rPr>
      </w:r>
    </w:p>
    <w:p>
      <w:r>
        <w:rPr>
          <w:color w:val="000000"/>
          <w:rFonts w:ascii="Times New Roman" w:hAnsi="Times New Roman"/>
          <w:sz w:val="24"/>
          <w:vertAlign w:val="baseline"/>
        </w:rPr>
        <w:t xml:space="preserve">A second alternative, Idaho Power suggests, is to include the interest earned on the DSM balances.  In so doing, however, the Company contends that the Commission would be approving the amount of interest charged prior to reviewing the balances included in the DSM deferral.</w:t>
      </w:r>
      <w:r>
        <w:rPr>
          <w:vertAlign w:val="baseline"/>
        </w:rPr>
      </w:r>
    </w:p>
    <w:p>
      <w:r>
        <w:rPr>
          <w:color w:val="000000"/>
          <w:rFonts w:ascii="NewCenturySchlbk" w:hAnsi="NewCenturySchlbk"/>
          <w:sz w:val="24"/>
          <w:vertAlign w:val="baseline"/>
        </w:rPr>
        <w:t xml:space="preserve">YOU ARE FURTHER NOTIFIED that the Commission has reviewed the filings of record in Case No. IPC-E-97-5.  The Commission has preliminarily determined that the public interest in this matter may not require a hearing to consider the issues presented and that the issues raised by the  Application may be processed under </w:t>
      </w:r>
      <w:r>
        <w:rPr>
          <w:color w:val="000000"/>
          <w:rFonts w:ascii="NewCenturySchlbk" w:hAnsi="NewCenturySchlbk"/>
          <w:sz w:val="24"/>
          <w:vertAlign w:val="baseline"/>
        </w:rPr>
        <w:t xml:space="preserve">Modified Procedure</w:t>
      </w:r>
      <w:r>
        <w:rPr>
          <w:color w:val="000000"/>
          <w:rFonts w:ascii="NewCenturySchlbk" w:hAnsi="NewCenturySchlbk"/>
          <w:sz w:val="24"/>
          <w:vertAlign w:val="baseline"/>
        </w:rPr>
        <w:t xml:space="preserve">, i.e., by written submission rather than by hearing.  Reference Commission Rules of Procedure, IDAPA 31.01.01.201-204.</w:t>
      </w:r>
      <w:r>
        <w:rPr>
          <w:vertAlign w:val="baseline"/>
        </w:rPr>
      </w:r>
    </w:p>
    <w:p>
      <w:r>
        <w:rPr>
          <w:color w:val="000000"/>
          <w:rFonts w:ascii="NewCenturySchlbk" w:hAnsi="NewCenturySchlbk"/>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the </w:t>
      </w:r>
      <w:r>
        <w:rPr>
          <w:color w:val="000000"/>
          <w:rFonts w:ascii="NewCenturySchlbk" w:hAnsi="NewCenturySchlbk"/>
          <w:sz w:val="24"/>
          <w:vertAlign w:val="baseline"/>
        </w:rPr>
        <w:t xml:space="preserve">deadline for filing written comments or protests </w:t>
      </w:r>
      <w:r>
        <w:rPr>
          <w:color w:val="000000"/>
          <w:rFonts w:ascii="NewCenturySchlbk" w:hAnsi="NewCenturySchlbk"/>
          <w:sz w:val="24"/>
          <w:vertAlign w:val="baseline"/>
        </w:rPr>
        <w:t xml:space="preserve">with respect to the Application and the Commission’s use of Modified Procedure in </w:t>
      </w:r>
      <w:r>
        <w:rPr>
          <w:color w:val="000000"/>
          <w:rFonts w:ascii="NewCenturySchlbk" w:hAnsi="NewCenturySchlbk"/>
          <w:sz w:val="24"/>
          <w:vertAlign w:val="baseline"/>
        </w:rPr>
        <w:t xml:space="preserve">Case No. IPC-E-97-5 is Friday, May 9, 1997</w:t>
      </w:r>
      <w:r>
        <w:rPr>
          <w:color w:val="000000"/>
          <w:rFonts w:ascii="NewCenturySchlbk" w:hAnsi="NewCenturySchlbk"/>
          <w:sz w:val="24"/>
          <w:vertAlign w:val="baseline"/>
        </w:rPr>
        <w:t xml:space="preserve">.  Persons desiring a hearing must specifically request a hearing in their written protest or comments.</w:t>
      </w:r>
      <w:r>
        <w:rPr>
          <w:vertAlign w:val="baseline"/>
        </w:rPr>
      </w:r>
    </w:p>
    <w:p>
      <w:r>
        <w:rPr>
          <w:color w:val="000000"/>
          <w:rFonts w:ascii="NewCenturySchlbk" w:hAnsi="NewCenturySchlbk"/>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NewCenturySchlbk" w:hAnsi="NewCenturySchlbk"/>
          <w:sz w:val="24"/>
          <w:vertAlign w:val="baseline"/>
        </w:rPr>
        <w:t xml:space="preserve">YOU ARE FURTHER NOTIFIED that written comments concerning Case No. IPC-E-97-5 should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SECRETARYLARRY D.  RIPLEY, ESQ.</w:t>
      </w:r>
      <w:r>
        <w:rPr>
          <w:vertAlign w:val="baseline"/>
        </w:rPr>
      </w:r>
    </w:p>
    <w:p>
      <w:r>
        <w:rPr>
          <w:color w:val="000000"/>
          <w:rFonts w:ascii="NewCenturySchlbk" w:hAnsi="NewCenturySchlbk"/>
          <w:sz w:val="20"/>
          <w:vertAlign w:val="baseline"/>
        </w:rPr>
        <w:t xml:space="preserve">IDAHO PUBLIC UTILITIES COMMISSIONIDAHO POWER COMPANY</w:t>
      </w:r>
      <w:r>
        <w:rPr>
          <w:vertAlign w:val="baseline"/>
        </w:rPr>
      </w:r>
    </w:p>
    <w:p>
      <w:r>
        <w:rPr>
          <w:color w:val="000000"/>
          <w:rFonts w:ascii="NewCenturySchlbk" w:hAnsi="NewCenturySchlbk"/>
          <w:sz w:val="20"/>
          <w:vertAlign w:val="baseline"/>
        </w:rPr>
        <w:t xml:space="preserve">PO BOX 83720PO BOX 70</w:t>
      </w:r>
      <w:r>
        <w:rPr>
          <w:vertAlign w:val="baseline"/>
        </w:rPr>
      </w:r>
    </w:p>
    <w:p>
      <w:r>
        <w:rPr>
          <w:color w:val="000000"/>
          <w:rFonts w:ascii="NewCenturySchlbk" w:hAnsi="NewCenturySchlbk"/>
          <w:sz w:val="20"/>
          <w:vertAlign w:val="baseline"/>
        </w:rPr>
        <w:t xml:space="preserve">BOISE, IDAHO  83720-0074BOISE, IDAHO 83707</w:t>
      </w:r>
      <w:r>
        <w:rPr>
          <w:vertAlign w:val="baseline"/>
        </w:rPr>
      </w:r>
    </w:p>
    <w:p>
      <w:r>
        <w:rPr>
          <w:vertAlign w:val="baseline"/>
        </w:rPr>
      </w:r>
    </w:p>
    <w:p>
      <w:r>
        <w:rPr>
          <w:color w:val="000000"/>
          <w:rFonts w:ascii="NewCenturySchlbk" w:hAnsi="NewCenturySchlbk"/>
          <w:sz w:val="20"/>
          <w:vertAlign w:val="baseline"/>
        </w:rPr>
        <w:t xml:space="preserve">Street Address for Express Mail:JOHN R. GALE, MANAGER</w:t>
      </w:r>
      <w:r>
        <w:rPr>
          <w:vertAlign w:val="baseline"/>
        </w:rPr>
      </w:r>
    </w:p>
    <w:p>
      <w:r>
        <w:rPr>
          <w:color w:val="000000"/>
          <w:rFonts w:ascii="NewCenturySchlbk" w:hAnsi="NewCenturySchlbk"/>
          <w:sz w:val="20"/>
          <w:vertAlign w:val="baseline"/>
        </w:rPr>
        <w:t xml:space="preserve">PRICING &amp; REGULATORY SERVICES</w:t>
      </w:r>
      <w:r>
        <w:rPr>
          <w:vertAlign w:val="baseline"/>
        </w:rPr>
      </w:r>
    </w:p>
    <w:p>
      <w:r>
        <w:rPr>
          <w:color w:val="000000"/>
          <w:rFonts w:ascii="NewCenturySchlbk" w:hAnsi="NewCenturySchlbk"/>
          <w:sz w:val="20"/>
          <w:vertAlign w:val="baseline"/>
        </w:rPr>
        <w:t xml:space="preserve">472 W WASHINGTON STIDAHO POWER COMPANY</w:t>
      </w:r>
      <w:r>
        <w:rPr>
          <w:vertAlign w:val="baseline"/>
        </w:rPr>
      </w:r>
    </w:p>
    <w:p>
      <w:r>
        <w:rPr>
          <w:color w:val="000000"/>
          <w:rFonts w:ascii="NewCenturySchlbk" w:hAnsi="NewCenturySchlbk"/>
          <w:sz w:val="20"/>
          <w:vertAlign w:val="baseline"/>
        </w:rPr>
        <w:t xml:space="preserve">BOISE, IDAHO  83702-5983PO BOX 70</w:t>
      </w:r>
      <w:r>
        <w:rPr>
          <w:vertAlign w:val="baseline"/>
        </w:rPr>
      </w:r>
    </w:p>
    <w:p>
      <w:r>
        <w:rPr>
          <w:color w:val="000000"/>
          <w:rFonts w:ascii="NewCenturySchlbk" w:hAnsi="NewCenturySchlbk"/>
          <w:sz w:val="20"/>
          <w:vertAlign w:val="baseline"/>
        </w:rPr>
        <w:t xml:space="preserve">BOISE, IDAHO 83707</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in Case No. IPC-E-97-5 can be reviewed at the Commission’s office and at the principal corporate office of the Idaho Power Company during regular business hours.  Idaho Power’s corporate offices are located at 1221 West Idaho Street, Boise, Idaho.</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