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6, 1997</w:t>
      </w:r>
      <w:r>
        <w:rPr/>
      </w:r>
    </w:p>
    <w:p>
      <w:r>
        <w:rPr/>
      </w:r>
    </w:p>
    <w:p>
      <w:r>
        <w:rPr>
          <w:color w:val="000000"/>
          <w:rFonts w:ascii="Times New Roman" w:hAnsi="Times New Roman"/>
          <w:sz w:val="24"/>
        </w:rPr>
        <w:t xml:space="preserve">RE:CASE NO.  IPC-E-97-9</w:t>
      </w:r>
      <w:r>
        <w:rPr/>
      </w:r>
    </w:p>
    <w:p>
      <w:r>
        <w:rPr>
          <w:color w:val="000000"/>
          <w:rFonts w:ascii="Times New Roman" w:hAnsi="Times New Roman"/>
          <w:sz w:val="24"/>
        </w:rPr>
        <w:t xml:space="preserve">REDUCING CONTRACT TERM FOR QFs LESS THAN 1 MW TO 5 YEARS</w:t>
      </w:r>
      <w:r>
        <w:rPr/>
      </w:r>
    </w:p>
    <w:p>
      <w:r>
        <w:rPr/>
      </w:r>
    </w:p>
    <w:p>
      <w:r>
        <w:rPr>
          <w:color w:val="000000"/>
          <w:rFonts w:ascii="Times New Roman" w:hAnsi="Times New Roman"/>
          <w:sz w:val="24"/>
        </w:rPr>
        <w:t xml:space="preserve">On June 5, 1997, Idaho Power Company filed an Application with the Commission requesting an Order limiting the length of all new PURPA contracts between Idaho Power and qualifying cogeneration and small power production facilities (QFs) smaller than 1 megawatt to five years or less.</w:t>
      </w:r>
      <w:r>
        <w:rPr/>
      </w:r>
    </w:p>
    <w:p>
      <w:r>
        <w:rPr>
          <w:color w:val="000000"/>
          <w:rFonts w:ascii="Times New Roman" w:hAnsi="Times New Roman"/>
          <w:sz w:val="24"/>
        </w:rPr>
        <w:t xml:space="preserve">Although the Company has not formally requested it, Staff recommends that this matter be processed pursuant to Modified Procedure, i.e., by written submission rather than by hearing.  Reference Commission Rules of Procedure, IDAPA 31.01.01.201-204.  Staff notes that the Company’s filing has generic policy implications.  Staff recommends an extended comment period.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Is Modified Procedure appropriate?  Should the standard comment period be extended?  Should the scope of this case be expanded to include PacifiCorp (dba UP&amp;L) and Washington Water Power Company?</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vld/M:IPC-E-97-9.sw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