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FORMATION OF A HOLDING COMPANY AND THE EXECUTION OF A SHARE EXCHANGE AGREEMENT.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IPC-E-97-11</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27296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18, 1997, this Commission received a letter from the Legislative Council Committee on Electric Utilities Restructuring of the Idaho Legislature requesting that the Commission conduct a public hearing regarding Idaho Power’s Application in this matter.</w:t>
      </w:r>
      <w:r>
        <w:rPr>
          <w:vertAlign w:val="baseline"/>
        </w:rPr>
      </w:r>
    </w:p>
    <w:p>
      <w:r>
        <w:rPr>
          <w:color w:val="000000"/>
          <w:rFonts w:ascii="Times New Roman" w:hAnsi="Times New Roman"/>
          <w:sz w:val="24"/>
          <w:vertAlign w:val="baseline"/>
        </w:rPr>
        <w:t xml:space="preserve">YOU ARE FURTHER NOTIFIED that, pursuant to the Legislative Committee’s Request, the Commission will conduct a public hearing for the purpose of soliciting comments from all parties of record and any members of the public concerning Idaho Power’s Application for authority to form a holding company structure.  The hearing will be conducted on </w:t>
      </w:r>
      <w:r>
        <w:rPr>
          <w:color w:val="000000"/>
          <w:rFonts w:ascii="Times New Roman" w:hAnsi="Times New Roman"/>
          <w:sz w:val="24"/>
          <w:vertAlign w:val="baseline"/>
        </w:rPr>
        <w:t xml:space="preserve">TUESDAY, JANUARY 13, 1998, COMMENCING AT 10:00 A.M. AT THE OFFICES OF THE IDAHO PUBLIC UTILITIES COMMISSION, 472 WEST WASHINGTON STREET, BOISE, IDAHO.</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will conduct a public hearing in this matter as set forth above.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