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27294</w:t>
            </w:r>
            <w:r>
              <w:rPr>
                <w:vertAlign w:val="baseline"/>
              </w:rPr>
            </w:r>
          </w:p>
        </w:tc>
      </w:tr>
    </w:tbl>
    <w:p>
      <w:pPr/>
    </w:p>
    <w:p>
      <w:r>
        <w:rPr>
          <w:color w:val="000000"/>
          <w:rFonts w:ascii="Times New Roman" w:hAnsi="Times New Roman"/>
          <w:sz w:val="24"/>
          <w:vertAlign w:val="baseline"/>
        </w:rPr>
        <w:t xml:space="preserve">On November 28, 1997, the Idaho Power Company (Idaho Power; Company) filed an Application with the Commission for an Order approving an increase in electric service rates to allow for the accelerated recovery of the Company’s outstanding demand side management/ conservation expenditures.  The Company’s Application is described in greater detail in the Notice of Application issued by this Commission on December 18, 1997.  The proposed changes set forth in Schedule 96, filed in Idaho Power’s Application, will affect the Company’s rates.  Idaho Power has requested that those new rates become effective January 1, 1998.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and Rule 123(03) of the Commission’s Rules of Procedure, IDAPA 31.01.01, the Commission hereby suspends the proposed effective date of January 1, 1998, for a period of thirty (30) days plus five (5) months or until such time as the Commission issues a final Order resolving the Company’s Application.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proposed effective date of Idaho Power’s Schedule 96 is suspended for a period of thirty (30) days plus five (5) months as set forth above.</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