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 CONSERVATION EXPENDITURES.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IPC-E-97-12</w:t>
            </w:r>
            <w:r>
              <w:rPr>
                <w:vertAlign w:val="baseline"/>
              </w:rPr>
            </w:r>
          </w:p>
          <w:p>
            <w:r>
              <w:rPr>
                <w:vertAlign w:val="baseline"/>
              </w:rPr>
            </w:r>
          </w:p>
          <w:p>
            <w:r>
              <w:rPr>
                <w:color w:val="000000"/>
                <w:rFonts w:ascii="Times New Roman" w:hAnsi="Times New Roman"/>
                <w:sz w:val="24"/>
                <w:vertAlign w:val="baseline"/>
              </w:rPr>
              <w:t xml:space="preserve">ISSUE IDENTIFICATION</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26, 1997, the Idaho Power Company (Idaho Power; Company) filed an Application with the Idaho Public Utilities Commission (Commission) in Case No. IPC-E-97-12 for an Order approving an increase in the electric service rates to allow for the accelerated recovery of Idaho Power’s outstanding demand side management/conservation (DSM) expenditures.</w:t>
      </w:r>
      <w:r>
        <w:rPr>
          <w:vertAlign w:val="baseline"/>
        </w:rPr>
      </w:r>
    </w:p>
    <w:p>
      <w:r>
        <w:rPr>
          <w:color w:val="000000"/>
          <w:rFonts w:ascii="Times New Roman" w:hAnsi="Times New Roman"/>
          <w:sz w:val="24"/>
          <w:vertAlign w:val="baseline"/>
        </w:rPr>
        <w:t xml:space="preserve">A Notice of Application in Case No. IPC-E-97-12 was issued by the Commission on December 18, 1997.  The Company proposed effective date of January 1, 1998, was suspended in Order No. 27294.  A prehearing conference in Case No. IPC-E-97-12 was held on February 20, 1998.  The following parties appeared by and through their designated representative or attorney:</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Idaho Power Company </w:t>
            </w:r>
            <w:r>
              <w:rPr>
                <w:vertAlign w:val="baseline"/>
              </w:rPr>
            </w:r>
          </w:p>
          <w:p>
            <w:r>
              <w:rPr>
                <w:vertAlign w:val="baseline"/>
              </w:rPr>
            </w:r>
          </w:p>
          <w:p>
            <w:r>
              <w:rPr>
                <w:color w:val="000000"/>
                <w:rFonts w:ascii="Times New Roman" w:hAnsi="Times New Roman"/>
                <w:sz w:val="24"/>
                <w:vertAlign w:val="baseline"/>
              </w:rPr>
              <w:t xml:space="preserve">FMC Corporation</w:t>
            </w:r>
            <w:r>
              <w:rPr>
                <w:vertAlign w:val="baseline"/>
              </w:rPr>
            </w:r>
          </w:p>
          <w:p>
            <w:r>
              <w:rPr>
                <w:vertAlign w:val="baseline"/>
              </w:rPr>
            </w:r>
          </w:p>
          <w:p>
            <w:r>
              <w:rPr>
                <w:color w:val="000000"/>
                <w:rFonts w:ascii="Times New Roman" w:hAnsi="Times New Roman"/>
                <w:sz w:val="24"/>
                <w:vertAlign w:val="baseline"/>
              </w:rPr>
              <w:t xml:space="preserve">Industrial Customers of Idaho Power</w:t>
            </w:r>
            <w:r>
              <w:rPr>
                <w:vertAlign w:val="baseline"/>
              </w:rPr>
            </w:r>
          </w:p>
          <w:p>
            <w:r>
              <w:rPr>
                <w:vertAlign w:val="baseline"/>
              </w:rPr>
            </w:r>
          </w:p>
          <w:p>
            <w:r>
              <w:rPr>
                <w:color w:val="000000"/>
                <w:rFonts w:ascii="Times New Roman" w:hAnsi="Times New Roman"/>
                <w:sz w:val="24"/>
                <w:vertAlign w:val="baseline"/>
              </w:rPr>
              <w:t xml:space="preserve">Idaho Citizens Coalition</w:t>
            </w:r>
            <w:r>
              <w:rPr>
                <w:vertAlign w:val="baseline"/>
              </w:rPr>
            </w:r>
          </w:p>
          <w:p>
            <w:r>
              <w:rPr>
                <w:vertAlign w:val="baseline"/>
              </w:rPr>
            </w:r>
          </w:p>
          <w:p>
            <w:r>
              <w:rPr>
                <w:color w:val="000000"/>
                <w:rFonts w:ascii="Times New Roman" w:hAnsi="Times New Roman"/>
                <w:sz w:val="24"/>
                <w:vertAlign w:val="baseline"/>
              </w:rPr>
              <w:t xml:space="preserve">Rate Fairness Group</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Larry D. Ripley, Esq.</w:t>
            </w:r>
            <w:r>
              <w:rPr>
                <w:vertAlign w:val="baseline"/>
              </w:rPr>
            </w:r>
          </w:p>
          <w:p>
            <w:r>
              <w:rPr>
                <w:vertAlign w:val="baseline"/>
              </w:rPr>
            </w:r>
          </w:p>
          <w:p>
            <w:r>
              <w:rPr>
                <w:color w:val="000000"/>
                <w:rFonts w:ascii="Times New Roman" w:hAnsi="Times New Roman"/>
                <w:sz w:val="24"/>
                <w:vertAlign w:val="baseline"/>
              </w:rPr>
              <w:t xml:space="preserve">Conley Ward, Esq.</w:t>
            </w:r>
            <w:r>
              <w:rPr>
                <w:vertAlign w:val="baseline"/>
              </w:rPr>
            </w:r>
          </w:p>
          <w:p>
            <w:r>
              <w:rPr>
                <w:vertAlign w:val="baseline"/>
              </w:rPr>
            </w:r>
          </w:p>
          <w:p>
            <w:r>
              <w:rPr>
                <w:color w:val="000000"/>
                <w:rFonts w:ascii="Times New Roman" w:hAnsi="Times New Roman"/>
                <w:sz w:val="24"/>
                <w:vertAlign w:val="baseline"/>
              </w:rPr>
              <w:t xml:space="preserve">Kelly McConnell, Esq.</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 Fothergill</w:t>
            </w:r>
            <w:r>
              <w:rPr>
                <w:vertAlign w:val="baseline"/>
              </w:rPr>
            </w:r>
          </w:p>
          <w:p>
            <w:r>
              <w:rPr>
                <w:vertAlign w:val="baseline"/>
              </w:rPr>
            </w:r>
          </w:p>
          <w:p>
            <w:r>
              <w:rPr>
                <w:color w:val="000000"/>
                <w:rFonts w:ascii="Times New Roman" w:hAnsi="Times New Roman"/>
                <w:sz w:val="24"/>
                <w:vertAlign w:val="baseline"/>
              </w:rPr>
              <w:t xml:space="preserve">Paul L. Jauregui, Esq.</w:t>
            </w:r>
            <w:r>
              <w:rPr>
                <w:vertAlign w:val="baseline"/>
              </w:rPr>
            </w:r>
          </w:p>
        </w:tc>
      </w:tr>
    </w:tbl>
    <w:p>
      <w:pPr/>
    </w:p>
    <w:p>
      <w:r>
        <w:rPr>
          <w:color w:val="000000"/>
          <w:rFonts w:ascii="Times New Roman" w:hAnsi="Times New Roman"/>
          <w:sz w:val="24"/>
          <w:vertAlign w:val="baseline"/>
        </w:rPr>
        <w:t xml:space="preserve">The following issues were identified as being “at issue” in Case No. IPC-E-97-12:</w:t>
      </w:r>
      <w:r>
        <w:rPr>
          <w:vertAlign w:val="baseline"/>
        </w:rPr>
      </w:r>
    </w:p>
    <w:p>
      <w:r>
        <w:rPr>
          <w:color w:val="000000"/>
          <w:rFonts w:ascii="Times New Roman" w:hAnsi="Times New Roman"/>
          <w:sz w:val="24"/>
          <w:vertAlign w:val="baseline"/>
        </w:rPr>
        <w:t xml:space="preserve">1.$1.1 million general administration costs built into rates</w:t>
      </w:r>
      <w:r>
        <w:rPr>
          <w:vertAlign w:val="baseline"/>
        </w:rPr>
      </w:r>
    </w:p>
    <w:p>
      <w:r>
        <w:rPr>
          <w:color w:val="000000"/>
          <w:rFonts w:ascii="Times New Roman" w:hAnsi="Times New Roman"/>
          <w:sz w:val="24"/>
          <w:vertAlign w:val="baseline"/>
        </w:rPr>
        <w:t xml:space="preserve">2.Amortization period</w:t>
      </w:r>
      <w:r>
        <w:rPr>
          <w:vertAlign w:val="baseline"/>
        </w:rPr>
      </w:r>
    </w:p>
    <w:p>
      <w:r>
        <w:rPr>
          <w:color w:val="000000"/>
          <w:rFonts w:ascii="Times New Roman" w:hAnsi="Times New Roman"/>
          <w:sz w:val="24"/>
          <w:vertAlign w:val="baseline"/>
        </w:rPr>
        <w:t xml:space="preserve">3.Return</w:t>
      </w:r>
      <w:r>
        <w:rPr>
          <w:vertAlign w:val="baseline"/>
        </w:rPr>
      </w:r>
    </w:p>
    <w:p>
      <w:r>
        <w:rPr>
          <w:color w:val="000000"/>
          <w:rFonts w:ascii="Times New Roman" w:hAnsi="Times New Roman"/>
          <w:sz w:val="24"/>
          <w:vertAlign w:val="baseline"/>
        </w:rPr>
        <w:t xml:space="preserve">4.Payoff option</w:t>
      </w:r>
      <w:r>
        <w:rPr>
          <w:vertAlign w:val="baseline"/>
        </w:rPr>
      </w:r>
    </w:p>
    <w:p>
      <w:r>
        <w:rPr>
          <w:color w:val="000000"/>
          <w:rFonts w:ascii="Times New Roman" w:hAnsi="Times New Roman"/>
          <w:sz w:val="24"/>
          <w:vertAlign w:val="baseline"/>
        </w:rPr>
        <w:t xml:space="preserve">5.Prudency</w:t>
      </w:r>
      <w:r>
        <w:rPr>
          <w:vertAlign w:val="baseline"/>
        </w:rPr>
      </w:r>
    </w:p>
    <w:p>
      <w:r>
        <w:rPr>
          <w:color w:val="000000"/>
          <w:rFonts w:ascii="Times New Roman" w:hAnsi="Times New Roman"/>
          <w:sz w:val="24"/>
          <w:vertAlign w:val="baseline"/>
        </w:rPr>
        <w:t xml:space="preserve">6.Allocation</w:t>
      </w:r>
      <w:r>
        <w:rPr>
          <w:vertAlign w:val="baseline"/>
        </w:rPr>
      </w:r>
    </w:p>
    <w:p>
      <w:r>
        <w:rPr>
          <w:color w:val="000000"/>
          <w:rFonts w:ascii="Times New Roman" w:hAnsi="Times New Roman"/>
          <w:sz w:val="24"/>
          <w:vertAlign w:val="baseline"/>
        </w:rPr>
        <w:t xml:space="preserve">7.Rate design</w:t>
      </w:r>
      <w:r>
        <w:rPr>
          <w:vertAlign w:val="baseline"/>
        </w:rPr>
      </w:r>
    </w:p>
    <w:p>
      <w:r>
        <w:rPr>
          <w:color w:val="000000"/>
          <w:rFonts w:ascii="Times New Roman" w:hAnsi="Times New Roman"/>
          <w:sz w:val="24"/>
          <w:vertAlign w:val="baseline"/>
        </w:rPr>
        <w:t xml:space="preserve">8.Appropriateness of accelerated depreciation and recovery in advance of stranded cost issue determination in the context of electric restructuring.</w:t>
      </w:r>
      <w:r>
        <w:rPr>
          <w:vertAlign w:val="baseline"/>
        </w:rPr>
      </w:r>
    </w:p>
    <w:p>
      <w:r>
        <w:rPr>
          <w:vertAlign w:val="baseline"/>
        </w:rPr>
      </w:r>
    </w:p>
    <w:p>
      <w:r>
        <w:rPr>
          <w:color w:val="000000"/>
          <w:rFonts w:ascii="Times New Roman" w:hAnsi="Times New Roman"/>
          <w:sz w:val="24"/>
          <w:vertAlign w:val="baseline"/>
        </w:rPr>
        <w:t xml:space="preserve">Pursuant to agreement of the parties and the Commission the following scheduling was adopted:</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April 6, 1998</w:t>
            </w:r>
            <w:r>
              <w:rPr>
                <w:vertAlign w:val="baseline"/>
              </w:rPr>
            </w:r>
          </w:p>
          <w:p>
            <w:r>
              <w:rPr>
                <w:vertAlign w:val="baseline"/>
              </w:rPr>
            </w:r>
          </w:p>
          <w:p>
            <w:r>
              <w:rPr>
                <w:color w:val="000000"/>
                <w:rFonts w:ascii="Times New Roman" w:hAnsi="Times New Roman"/>
                <w:sz w:val="24"/>
                <w:vertAlign w:val="baseline"/>
              </w:rPr>
              <w:t xml:space="preserve">April 27, 1998</w:t>
            </w:r>
            <w:r>
              <w:rPr>
                <w:vertAlign w:val="baseline"/>
              </w:rPr>
            </w:r>
          </w:p>
          <w:p>
            <w:r>
              <w:rPr>
                <w:vertAlign w:val="baseline"/>
              </w:rPr>
            </w:r>
          </w:p>
          <w:p>
            <w:r>
              <w:rPr>
                <w:color w:val="000000"/>
                <w:rFonts w:ascii="Times New Roman" w:hAnsi="Times New Roman"/>
                <w:sz w:val="24"/>
                <w:vertAlign w:val="baseline"/>
              </w:rPr>
              <w:t xml:space="preserve">May 4,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May 18, 1998</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Discovery request deadline</w:t>
            </w:r>
            <w:r>
              <w:rPr>
                <w:vertAlign w:val="baseline"/>
              </w:rPr>
            </w:r>
          </w:p>
          <w:p>
            <w:r>
              <w:rPr>
                <w:vertAlign w:val="baseline"/>
              </w:rPr>
            </w:r>
          </w:p>
          <w:p>
            <w:r>
              <w:rPr>
                <w:color w:val="000000"/>
                <w:rFonts w:ascii="Times New Roman" w:hAnsi="Times New Roman"/>
                <w:sz w:val="24"/>
                <w:vertAlign w:val="baseline"/>
              </w:rPr>
              <w:t xml:space="preserve">Discovery response deadline</w:t>
            </w:r>
            <w:r>
              <w:rPr>
                <w:vertAlign w:val="baseline"/>
              </w:rPr>
            </w:r>
          </w:p>
          <w:p>
            <w:r>
              <w:rPr>
                <w:vertAlign w:val="baseline"/>
              </w:rPr>
            </w:r>
          </w:p>
          <w:p>
            <w:r>
              <w:rPr>
                <w:color w:val="000000"/>
                <w:rFonts w:ascii="Times New Roman" w:hAnsi="Times New Roman"/>
                <w:sz w:val="24"/>
                <w:vertAlign w:val="baseline"/>
              </w:rPr>
              <w:t xml:space="preserve">Prefile deadline, Staff/intervenor direct testimony</w:t>
            </w:r>
            <w:r>
              <w:rPr>
                <w:vertAlign w:val="baseline"/>
              </w:rPr>
            </w:r>
          </w:p>
          <w:p>
            <w:r>
              <w:rPr>
                <w:vertAlign w:val="baseline"/>
              </w:rPr>
            </w:r>
          </w:p>
          <w:p>
            <w:r>
              <w:rPr>
                <w:color w:val="000000"/>
                <w:rFonts w:ascii="Times New Roman" w:hAnsi="Times New Roman"/>
                <w:sz w:val="24"/>
                <w:vertAlign w:val="baseline"/>
              </w:rPr>
              <w:t xml:space="preserve">Prefile deadline, Company rebuttal testimony</w:t>
            </w:r>
            <w:r>
              <w:rPr>
                <w:vertAlign w:val="baseline"/>
              </w:rPr>
            </w:r>
          </w:p>
        </w:tc>
      </w:tr>
    </w:tbl>
    <w:p>
      <w:pPr/>
    </w:p>
    <w:p>
      <w:r>
        <w:rPr>
          <w:vertAlign w:val="baseline"/>
        </w:rPr>
      </w:r>
    </w:p>
    <w:p>
      <w:r>
        <w:rPr>
          <w:color w:val="000000"/>
          <w:rFonts w:ascii="Times New Roman" w:hAnsi="Times New Roman"/>
          <w:sz w:val="24"/>
          <w:vertAlign w:val="baseline"/>
        </w:rPr>
        <w:t xml:space="preserve">Pursuant to agreement, all prefile dates are “in hand” dates.  The prepared testimony and exhibits must conform to the requirements of Rules 266 and 267 of the Commission’s Rules of Procedure.  Reference IDAPA 31.01.01.266-267.</w:t>
      </w:r>
      <w:r>
        <w:rPr>
          <w:vertAlign w:val="baseline"/>
        </w:rPr>
      </w:r>
    </w:p>
    <w:p>
      <w:r>
        <w:rPr>
          <w:color w:val="000000"/>
          <w:rFonts w:ascii="Times New Roman" w:hAnsi="Times New Roman"/>
          <w:sz w:val="24"/>
          <w:vertAlign w:val="baseline"/>
        </w:rPr>
        <w:t xml:space="preserve">The parties are apprised that discovery is available pursuant to Commission Rules of Procedure, IDAPA 31.01.01.221-234.  The parties should coordinate discovery requests and responses so that they are able to comply with established prefile deadlines.</w:t>
      </w:r>
      <w:r>
        <w:rPr>
          <w:vertAlign w:val="baseline"/>
        </w:rPr>
      </w:r>
    </w:p>
    <w:p>
      <w:r>
        <w:rPr>
          <w:color w:val="000000"/>
          <w:rFonts w:ascii="Times New Roman" w:hAnsi="Times New Roman"/>
          <w:sz w:val="24"/>
          <w:vertAlign w:val="baseline"/>
        </w:rPr>
        <w:t xml:space="preserve">Pursuant to further agreement of the parties and the Commission, YOU ARE HEREBY NOTIFIED that a </w:t>
      </w:r>
      <w:r>
        <w:rPr>
          <w:color w:val="000000"/>
          <w:rFonts w:ascii="Times New Roman" w:hAnsi="Times New Roman"/>
          <w:sz w:val="24"/>
          <w:vertAlign w:val="baseline"/>
        </w:rPr>
        <w:t xml:space="preserve">public hearing</w:t>
      </w:r>
      <w:r>
        <w:rPr>
          <w:color w:val="000000"/>
          <w:rFonts w:ascii="Times New Roman" w:hAnsi="Times New Roman"/>
          <w:sz w:val="24"/>
          <w:vertAlign w:val="baseline"/>
        </w:rPr>
        <w:t xml:space="preserve"> in Case No. IPC-E-97-12 is scheduled for </w:t>
      </w:r>
      <w:r>
        <w:rPr>
          <w:color w:val="000000"/>
          <w:rFonts w:ascii="Times New Roman" w:hAnsi="Times New Roman"/>
          <w:sz w:val="24"/>
          <w:vertAlign w:val="baseline"/>
        </w:rPr>
        <w:t xml:space="preserve">TUESDAY, MAY 26, 1998, COMMENCING AT 9:30 A.M. IN THE COMMISSION HEARING ROOM, 472 WEST WASHINGTON, BOISE, IDAHO</w:t>
      </w:r>
      <w:r>
        <w:rPr>
          <w:color w:val="000000"/>
          <w:rFonts w:ascii="Times New Roman" w:hAnsi="Times New Roman"/>
          <w:sz w:val="24"/>
          <w:vertAlign w:val="baseline"/>
        </w:rPr>
        <w:t xml:space="preserve"> and continuing if necessary on </w:t>
      </w:r>
      <w:r>
        <w:rPr>
          <w:color w:val="000000"/>
          <w:rFonts w:ascii="Times New Roman" w:hAnsi="Times New Roman"/>
          <w:sz w:val="24"/>
          <w:vertAlign w:val="baseline"/>
        </w:rPr>
        <w:t xml:space="preserve">Wednesday, May 27, 1998, at the same location.  </w:t>
      </w:r>
      <w:r>
        <w:rPr>
          <w:vertAlign w:val="baseline"/>
        </w:rPr>
      </w:r>
    </w:p>
    <w:p>
      <w:r>
        <w:rPr>
          <w:color w:val="000000"/>
          <w:rFonts w:ascii="Times New Roman" w:hAnsi="Times New Roman"/>
          <w:sz w:val="24"/>
          <w:vertAlign w:val="baseline"/>
        </w:rPr>
        <w:t xml:space="preserve">DATED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vld/N:IPC-E-97-12.sw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