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IDAHO POWER COMPANY FOR AUTHORITY TO INCREASE ITS RATES AND CHARGES TO RECOVER DEMAND SIDE MANAGEMENT/ CONSERVATION EXPENDITURES.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IPC-E-97-12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ORAL ARGUMENT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on February 27, 1998, the Industrial Customers of Idaho Power (ICIP) filed a Motion to Dismiss Idaho Power’s Application filed in this case on November 26, 1997, seeking authority to increase the Company’s rates and charges to recover demand side management/conservation expenditures. Also on February 27, 1998, Micron Technology , Inc. (Micron) filed a Motion to Dismiss Idaho Power’s Application as well.  On March 6, 1998, the Rate Fairness Group (RFG) filed a Motion to join in the Motions of the ICIP and Micron to dismiss Idaho Power’s Application.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March 6, 1998, Idaho Power filed a Motion to utilize the Company’s net 1997 revenue sharing amount as a reduction to its Idaho demand side management balance.  Finally, on March 19, 1998, Idaho Power filed a Motion for an order compelling the ICIP to respond to the Company’s first set of production requests.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that, pursuant to the Commission’s Rules of Procedure, IDAPA 31.01.01, the deadline to respond to each of the aforementioned Motions has expired. 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the Commission will conduct an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ORAL ARGUMENT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for the purpose of hearing argument on all of the aforementioned Motions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ON TUESDAY, APRIL 7, 1998, COMMENCING AT 9:30 A.M., AT THE OFFICES OF THE IDAHO PUBLIC UTILITIES COMMISSION, 472 WEST WASHINGTON STREET, BOISE, IDAHO 83702.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day of March 1998.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cm\N:ipce9712.bp3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March 31, 1998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