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w:t>
            </w:r>
            <w:r>
              <w:rPr>
                <w:color w:val="000000"/>
                <w:rFonts w:ascii="Times New Roman" w:hAnsi="Times New Roman"/>
                <w:sz w:val="24"/>
                <w:vertAlign w:val="baseline"/>
              </w:rPr>
              <w:t xml:space="preserve">IDAHO POWER COMPANY AND FMC CORPORATION FOR APPROVAL OF A SPECIAL CONTRACT FOR SERVICE TO FMC CORPORATION AND A REVISED SCHEDULE 28--FMC TARIFF AND FOR APPROVAL OF REVISIONS TO THE POWER COST ADJUSTMENT OF IDAHO POWER COMPANY AS A RESULT OF THE NEW FMC CONTRACT</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IPC-E-97-13</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 27382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The Industrial Customers of Idaho Power petitioned to intervene in this case on February 10,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Industrial Customers of Idaho Power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Peter J. Richardson Stuart A. T. Trippel</w:t>
      </w:r>
      <w:r>
        <w:rPr>
          <w:vertAlign w:val="baseline"/>
        </w:rPr>
      </w:r>
    </w:p>
    <w:p>
      <w:r>
        <w:rPr>
          <w:color w:val="000000"/>
          <w:rFonts w:ascii="Times New Roman" w:hAnsi="Times New Roman"/>
          <w:sz w:val="24"/>
          <w:vertAlign w:val="baseline"/>
        </w:rPr>
        <w:t xml:space="preserve">Davis Wright Tremaine LLPFinancial &amp; Management Consulting</w:t>
      </w:r>
      <w:r>
        <w:rPr>
          <w:vertAlign w:val="baseline"/>
        </w:rPr>
      </w:r>
    </w:p>
    <w:p>
      <w:r>
        <w:rPr>
          <w:color w:val="000000"/>
          <w:rFonts w:ascii="Times New Roman" w:hAnsi="Times New Roman"/>
          <w:sz w:val="24"/>
          <w:vertAlign w:val="baseline"/>
        </w:rPr>
        <w:t xml:space="preserve">877 W. Main Street, Suite 6043635 Freemont Ave. North, Suite 302</w:t>
      </w:r>
      <w:r>
        <w:rPr>
          <w:vertAlign w:val="baseline"/>
        </w:rPr>
      </w:r>
    </w:p>
    <w:p>
      <w:r>
        <w:rPr>
          <w:color w:val="000000"/>
          <w:rFonts w:ascii="Times New Roman" w:hAnsi="Times New Roman"/>
          <w:sz w:val="24"/>
          <w:vertAlign w:val="baseline"/>
        </w:rPr>
        <w:t xml:space="preserve">Boise, ID 83702-5858Seattle, WA 98103-1456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bls/O:ipce9713.in2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