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IDAHO POWER COMPANY AND FMC CORPORATION FOR APPROVAL OF A SPECIAL CONTRACT FOR SERVICE TO FMC CORPORATION AND A REVISED SCHEDULE 28--FMC TARIFF AND FOR APPROVAL OF REVISIONS TO THE POWER COST ADJUSTMENT OF IDAHO POWER COMPANY AS A RESULT OF THE NEW FMC CONTRACT</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IPC-E-97-13</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27553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27, 1998, the Commission granted FMC Corporation and Idaho Power Company’s Joint Application for approval of </w:t>
      </w:r>
      <w:r>
        <w:rPr>
          <w:color w:val="000000"/>
          <w:rFonts w:ascii="Times New Roman" w:hAnsi="Times New Roman"/>
          <w:sz w:val="24"/>
          <w:vertAlign w:val="baseline"/>
        </w:rPr>
        <w:t xml:space="preserve">a new special contract for electric service to FMC to replace the existing 1973 Contract</w:t>
      </w:r>
      <w:r>
        <w:rPr>
          <w:color w:val="000000"/>
          <w:rFonts w:ascii="Times New Roman" w:hAnsi="Times New Roman"/>
          <w:sz w:val="24"/>
          <w:vertAlign w:val="baseline"/>
        </w:rPr>
        <w:t xml:space="preserve">and for approval of a revised Tariff Schedule 28 (the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w:t>
      </w:r>
      <w:r>
        <w:rPr>
          <w:color w:val="000000"/>
          <w:rFonts w:ascii="Times New Roman" w:hAnsi="Times New Roman"/>
          <w:sz w:val="24"/>
          <w:vertAlign w:val="baseline"/>
        </w:rPr>
        <w:t xml:space="preserve"> Order No. </w:t>
      </w:r>
      <w:r>
        <w:rPr>
          <w:color w:val="000000"/>
          <w:rFonts w:ascii="Times New Roman" w:hAnsi="Times New Roman"/>
          <w:sz w:val="24"/>
          <w:vertAlign w:val="baseline"/>
        </w:rPr>
        <w:t xml:space="preserve">27463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This was a final order.  </w:t>
      </w:r>
      <w:r>
        <w:rPr>
          <w:vertAlign w:val="baseline"/>
        </w:rPr>
      </w:r>
    </w:p>
    <w:p>
      <w:r>
        <w:rPr>
          <w:color w:val="000000"/>
          <w:rFonts w:ascii="Times New Roman" w:hAnsi="Times New Roman"/>
          <w:sz w:val="24"/>
          <w:vertAlign w:val="baseline"/>
        </w:rPr>
        <w:t xml:space="preserve">On May 18, 1998,</w:t>
      </w:r>
      <w:r>
        <w:rPr>
          <w:color w:val="000000"/>
          <w:rFonts w:ascii="Times New Roman" w:hAnsi="Times New Roman"/>
          <w:sz w:val="24"/>
          <w:vertAlign w:val="baseline"/>
        </w:rPr>
        <w:t xml:space="preserve"> Idaho Power Company filed a petition for clarification of Order No. 27463</w:t>
      </w:r>
      <w:r>
        <w:rPr>
          <w:color w:val="000000"/>
          <w:rFonts w:ascii="Times New Roman" w:hAnsi="Times New Roman"/>
          <w:sz w:val="24"/>
          <w:vertAlign w:val="baseline"/>
        </w:rPr>
        <w:t xml:space="preserve"> page 6 to reflect the Commission’s findings in the Power Cost Adjustment case, Case No. IPC-E-98-5.</w:t>
      </w:r>
      <w:r>
        <w:rPr>
          <w:color w:val="000000"/>
          <w:rFonts w:ascii="Times New Roman" w:hAnsi="Times New Roman"/>
          <w:sz w:val="24"/>
          <w:vertAlign w:val="baseline"/>
        </w:rPr>
        <w:t xml:space="preserve">  Staff generally concurred</w:t>
      </w:r>
      <w:r>
        <w:rPr>
          <w:color w:val="000000"/>
          <w:rFonts w:ascii="Times New Roman" w:hAnsi="Times New Roman"/>
          <w:sz w:val="24"/>
          <w:vertAlign w:val="baseline"/>
        </w:rPr>
        <w:t xml:space="preserve"> in this clarification in its decision memorandum dated May 29, 1998</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Based on the record before the Commission and on its findings in </w:t>
      </w:r>
      <w:r>
        <w:rPr>
          <w:color w:val="000000"/>
          <w:rFonts w:ascii="Times New Roman" w:hAnsi="Times New Roman"/>
          <w:sz w:val="24"/>
          <w:vertAlign w:val="baseline"/>
        </w:rPr>
        <w:t xml:space="preserve">Case No. IPC-E-98-5</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Commission grants clarification as corrected by the Staff.</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December 31, 1997, Idaho Power Company and FMC Corporation filed a Joint Application and a revised Tariff Schedule 28 (the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requesting that the Commission</w:t>
      </w:r>
      <w:r>
        <w:rPr>
          <w:color w:val="000000"/>
          <w:rFonts w:ascii="Times New Roman" w:hAnsi="Times New Roman"/>
          <w:sz w:val="24"/>
          <w:vertAlign w:val="baseline"/>
        </w:rPr>
        <w:t xml:space="preserve">approve a new special contract for electric service to FMC Corporation to replace the existing 1973 Contract.  Idaho Power and FMC also sought approval to revise Idaho Power Company’s Power Cost Adjustment (“PCA”)</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They claimed the tariff revisions and the revisions to the PCA were necessary if the Commission adopted the new proposed FMC contract. </w:t>
      </w:r>
      <w:r>
        <w:rPr>
          <w:vertAlign w:val="baseline"/>
        </w:rPr>
      </w:r>
    </w:p>
    <w:p>
      <w:r>
        <w:rPr>
          <w:color w:val="000000"/>
          <w:rFonts w:ascii="Times New Roman" w:hAnsi="Times New Roman"/>
          <w:sz w:val="24"/>
          <w:vertAlign w:val="baseline"/>
        </w:rPr>
        <w:t xml:space="preserve">In response to Idaho Power and FMC requests, Staff conducted a public workshop to discuss how Idaho Power’s </w:t>
      </w:r>
      <w:r>
        <w:rPr>
          <w:color w:val="000000"/>
          <w:rFonts w:ascii="Times New Roman" w:hAnsi="Times New Roman"/>
          <w:sz w:val="24"/>
          <w:vertAlign w:val="baseline"/>
        </w:rPr>
        <w:t xml:space="preserve">PCA</w:t>
      </w:r>
      <w:r>
        <w:rPr>
          <w:color w:val="000000"/>
          <w:rFonts w:ascii="Times New Roman" w:hAnsi="Times New Roman"/>
          <w:sz w:val="24"/>
          <w:vertAlign w:val="baseline"/>
        </w:rPr>
        <w:t xml:space="preserve"> should be revised. </w:t>
      </w:r>
      <w:r>
        <w:rPr>
          <w:color w:val="000000"/>
          <w:rFonts w:ascii="Times New Roman" w:hAnsi="Times New Roman"/>
          <w:sz w:val="24"/>
          <w:vertAlign w:val="baseline"/>
        </w:rPr>
        <w:t xml:space="preserve"> On February 20, 1998, FMC and Idaho Power modified their Joint Application in response to the workshop.  The proposed special contract and proposed revised tariff were not modified by the February 20, 1998 filing.  However, Idaho Power and FMC withdrew the previously proposed changes to the PCA and proposed other changes in their place.  An amended notice of those proposed changes was issued on </w:t>
      </w:r>
      <w:r>
        <w:rPr>
          <w:color w:val="000000"/>
          <w:rFonts w:ascii="Times New Roman" w:hAnsi="Times New Roman"/>
          <w:sz w:val="24"/>
          <w:vertAlign w:val="baseline"/>
        </w:rPr>
        <w:t xml:space="preserve">February 27, 1998.  Order No.</w:t>
      </w:r>
      <w:r>
        <w:rPr>
          <w:color w:val="000000"/>
          <w:rFonts w:ascii="Times New Roman" w:hAnsi="Times New Roman"/>
          <w:sz w:val="24"/>
          <w:vertAlign w:val="baseline"/>
        </w:rPr>
        <w:t xml:space="preserve">27377.  The Commission did not change the comment deadline.</w:t>
      </w:r>
      <w:r>
        <w:rPr>
          <w:vertAlign w:val="baseline"/>
        </w:rPr>
      </w:r>
    </w:p>
    <w:p>
      <w:r>
        <w:rPr>
          <w:color w:val="000000"/>
          <w:rFonts w:ascii="Times New Roman" w:hAnsi="Times New Roman"/>
          <w:sz w:val="24"/>
          <w:vertAlign w:val="baseline"/>
        </w:rPr>
        <w:t xml:space="preserve">After comments were received,</w:t>
      </w:r>
      <w:r>
        <w:rPr>
          <w:color w:val="000000"/>
          <w:rFonts w:ascii="Times New Roman" w:hAnsi="Times New Roman"/>
          <w:sz w:val="24"/>
          <w:vertAlign w:val="baseline"/>
        </w:rPr>
        <w:t xml:space="preserve"> the Commission granted FMC Corporation and Idaho Power Company’s Joint Application for approval of </w:t>
      </w:r>
      <w:r>
        <w:rPr>
          <w:color w:val="000000"/>
          <w:rFonts w:ascii="Times New Roman" w:hAnsi="Times New Roman"/>
          <w:sz w:val="24"/>
          <w:vertAlign w:val="baseline"/>
        </w:rPr>
        <w:t xml:space="preserve">a new special contract for electric service to FMC to replace the existing 1973 Contract</w:t>
      </w:r>
      <w:r>
        <w:rPr>
          <w:color w:val="000000"/>
          <w:rFonts w:ascii="Times New Roman" w:hAnsi="Times New Roman"/>
          <w:sz w:val="24"/>
          <w:vertAlign w:val="baseline"/>
        </w:rPr>
        <w:t xml:space="preserve">and for approval of a revised Tariff Schedule 28 (the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w:t>
      </w:r>
      <w:r>
        <w:rPr>
          <w:color w:val="000000"/>
          <w:rFonts w:ascii="Times New Roman" w:hAnsi="Times New Roman"/>
          <w:sz w:val="24"/>
          <w:vertAlign w:val="baseline"/>
        </w:rPr>
        <w:t xml:space="preserve">o</w:t>
      </w:r>
      <w:r>
        <w:rPr>
          <w:color w:val="000000"/>
          <w:rFonts w:ascii="Times New Roman" w:hAnsi="Times New Roman"/>
          <w:sz w:val="24"/>
          <w:vertAlign w:val="baseline"/>
        </w:rPr>
        <w:t xml:space="preserve">n April 27, 1998</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Order No. </w:t>
      </w:r>
      <w:r>
        <w:rPr>
          <w:color w:val="000000"/>
          <w:rFonts w:ascii="Times New Roman" w:hAnsi="Times New Roman"/>
          <w:sz w:val="24"/>
          <w:vertAlign w:val="baseline"/>
        </w:rPr>
        <w:t xml:space="preserve">27463</w:t>
      </w:r>
      <w:r>
        <w:rPr>
          <w:color w:val="000000"/>
          <w:rFonts w:ascii="Times New Roman" w:hAnsi="Times New Roman"/>
          <w:sz w:val="24"/>
          <w:vertAlign w:val="baseline"/>
        </w:rPr>
        <w:t xml:space="preserve">.  The Commission also approved the proposed changes to the Power Cost Adjustment method to reflect the new FMC contract.  Those changes were as follows:</w:t>
      </w:r>
      <w:r>
        <w:rPr>
          <w:vertAlign w:val="baseline"/>
        </w:rPr>
      </w:r>
    </w:p>
    <w:p>
      <w:r>
        <w:rPr>
          <w:color w:val="000000"/>
          <w:rFonts w:ascii="Times New Roman" w:hAnsi="Times New Roman"/>
          <w:sz w:val="24"/>
          <w:vertAlign w:val="baseline"/>
        </w:rPr>
        <w:t xml:space="preserve">1.Treat the change from primary energy to first block energy (51,840 MWh) as load growth.</w:t>
      </w:r>
      <w:r>
        <w:rPr>
          <w:vertAlign w:val="baseline"/>
        </w:rPr>
      </w:r>
    </w:p>
    <w:p>
      <w:r>
        <w:rPr>
          <w:vertAlign w:val="baseline"/>
        </w:rPr>
      </w:r>
    </w:p>
    <w:p>
      <w:r>
        <w:rPr>
          <w:color w:val="000000"/>
          <w:rFonts w:ascii="Times New Roman" w:hAnsi="Times New Roman"/>
          <w:sz w:val="24"/>
          <w:vertAlign w:val="baseline"/>
        </w:rPr>
        <w:t xml:space="preserve">2.If the change from primary energy to first block energy (51,840 MWh) is treated as load growth (Item 1 proposal), no change to the Idaho retail allocation will be necessary.</w:t>
      </w:r>
      <w:r>
        <w:rPr>
          <w:vertAlign w:val="baseline"/>
        </w:rPr>
      </w:r>
    </w:p>
    <w:p>
      <w:r>
        <w:rPr>
          <w:vertAlign w:val="baseline"/>
        </w:rPr>
      </w:r>
    </w:p>
    <w:p>
      <w:r>
        <w:rPr>
          <w:color w:val="000000"/>
          <w:rFonts w:ascii="Times New Roman" w:hAnsi="Times New Roman"/>
          <w:sz w:val="24"/>
          <w:vertAlign w:val="baseline"/>
        </w:rPr>
        <w:t xml:space="preserve">3.Although the second block energy revenue is unknown because the price will float with the market, the 16.84 m/kWh rate used for the firm load growth rate will be used for determining a normalized secondary revenue amount.  If FMC’s usage is set at normalized levels, the load growth adjustment for the first block at 16.84 mills per kWh would be offset by the second block energy decrease at 16.84 mills per kWh.</w:t>
      </w:r>
      <w:r>
        <w:rPr>
          <w:vertAlign w:val="baseline"/>
        </w:rPr>
      </w:r>
    </w:p>
    <w:p>
      <w:r>
        <w:rPr>
          <w:vertAlign w:val="baseline"/>
        </w:rPr>
      </w:r>
    </w:p>
    <w:p>
      <w:r>
        <w:rPr>
          <w:color w:val="000000"/>
          <w:rFonts w:ascii="Times New Roman" w:hAnsi="Times New Roman"/>
          <w:sz w:val="24"/>
          <w:vertAlign w:val="baseline"/>
        </w:rPr>
        <w:t xml:space="preserve">NormalizedNormalizedNormalized</w:t>
      </w:r>
      <w:r>
        <w:rPr>
          <w:vertAlign w:val="baseline"/>
        </w:rPr>
      </w:r>
    </w:p>
    <w:p>
      <w:r>
        <w:rPr>
          <w:color w:val="000000"/>
          <w:rFonts w:ascii="Times New Roman" w:hAnsi="Times New Roman"/>
          <w:sz w:val="24"/>
          <w:vertAlign w:val="baseline"/>
        </w:rPr>
        <w:t xml:space="preserve">         Energy   </w:t>
      </w:r>
      <w:r>
        <w:rPr>
          <w:color w:val="000000"/>
          <w:rFonts w:ascii="Times New Roman" w:hAnsi="Times New Roman"/>
          <w:sz w:val="24"/>
          <w:vertAlign w:val="baseline"/>
        </w:rPr>
        <w:t xml:space="preserve">  Price (mills)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Revenue  </w:t>
      </w:r>
      <w:r>
        <w:rPr>
          <w:vertAlign w:val="baseline"/>
        </w:rPr>
      </w:r>
    </w:p>
    <w:p>
      <w:r>
        <w:rPr>
          <w:vertAlign w:val="baseline"/>
        </w:rPr>
      </w:r>
    </w:p>
    <w:p>
      <w:r>
        <w:rPr>
          <w:color w:val="000000"/>
          <w:rFonts w:ascii="Times New Roman" w:hAnsi="Times New Roman"/>
          <w:sz w:val="24"/>
          <w:vertAlign w:val="baseline"/>
        </w:rPr>
        <w:t xml:space="preserve">Secondary Energy   590,678              23.00$13,585,594</w:t>
      </w:r>
      <w:r>
        <w:rPr>
          <w:vertAlign w:val="baseline"/>
        </w:rPr>
      </w:r>
    </w:p>
    <w:p>
      <w:r>
        <w:rPr>
          <w:color w:val="000000"/>
          <w:rFonts w:ascii="Times New Roman" w:hAnsi="Times New Roman"/>
          <w:sz w:val="24"/>
          <w:vertAlign w:val="baseline"/>
        </w:rPr>
        <w:t xml:space="preserve">Second Block Energy   538,838        16.84    9,074,032</w:t>
      </w:r>
      <w:r>
        <w:rPr>
          <w:vertAlign w:val="baseline"/>
        </w:rPr>
      </w:r>
    </w:p>
    <w:p>
      <w:r>
        <w:rPr>
          <w:vertAlign w:val="baseline"/>
        </w:rPr>
      </w:r>
    </w:p>
    <w:p>
      <w:r>
        <w:rPr>
          <w:color w:val="000000"/>
          <w:rFonts w:ascii="Times New Roman" w:hAnsi="Times New Roman"/>
          <w:sz w:val="24"/>
          <w:vertAlign w:val="baseline"/>
        </w:rPr>
        <w:t xml:space="preserve">4.Track the actual second block energy revenues, just as actual secondary revenues are tracked for Power Cost Adjustment true-up purposes.</w:t>
      </w:r>
      <w:r>
        <w:rPr>
          <w:vertAlign w:val="baseline"/>
        </w:rPr>
      </w:r>
    </w:p>
    <w:p>
      <w:r>
        <w:rPr>
          <w:vertAlign w:val="baseline"/>
        </w:rPr>
      </w:r>
    </w:p>
    <w:p>
      <w:r>
        <w:rPr>
          <w:color w:val="000000"/>
          <w:rFonts w:ascii="Times New Roman" w:hAnsi="Times New Roman"/>
          <w:sz w:val="24"/>
          <w:vertAlign w:val="baseline"/>
        </w:rPr>
        <w:t xml:space="preserve">Since Order No. </w:t>
      </w:r>
      <w:r>
        <w:rPr>
          <w:color w:val="000000"/>
          <w:rFonts w:ascii="Times New Roman" w:hAnsi="Times New Roman"/>
          <w:sz w:val="24"/>
          <w:vertAlign w:val="baseline"/>
        </w:rPr>
        <w:t xml:space="preserve">27463 was issued, the Commission considered overall changes to the PCA in Case No. IPC-E-98-5 and issued Order No. 27516 re-calculating the rates.</w:t>
      </w:r>
      <w:r>
        <w:rPr>
          <w:vertAlign w:val="baseline"/>
        </w:rPr>
      </w:r>
    </w:p>
    <w:p>
      <w:r>
        <w:rPr>
          <w:color w:val="000000"/>
          <w:rFonts w:ascii="Times New Roman" w:hAnsi="Times New Roman"/>
          <w:sz w:val="24"/>
          <w:vertAlign w:val="baseline"/>
        </w:rPr>
        <w:t xml:space="preserve">PETITION FOR CLARIFICATION</w:t>
      </w:r>
      <w:r>
        <w:rPr>
          <w:vertAlign w:val="baseline"/>
        </w:rPr>
      </w:r>
    </w:p>
    <w:p>
      <w:r>
        <w:rPr>
          <w:color w:val="000000"/>
          <w:rFonts w:ascii="Times New Roman" w:hAnsi="Times New Roman"/>
          <w:sz w:val="24"/>
          <w:vertAlign w:val="baseline"/>
        </w:rPr>
        <w:t xml:space="preserve">On May 18, 1998, Idaho Power petitioned the Commission to clarify Order No. 27463 to reflect subsequent changes in the PCA ordered in IPC-E-98-5.  Idaho Power stated that in considering changes to the PCA in IPC-E-98-5, Staff revised its PCA calculation as it relates to the FMC contract and Idaho Power concurred in that revision.  Idaho Power advised the Commission in IPC-E-98-5 that if the Commission accepted the revision to the calculation to reflect the new FMC contract in its final PCA order in that case, Idaho Power would petition for clarification in this case to make the two orders consistent.  Accordingly, Idaho Power filed this Petition.</w:t>
      </w:r>
      <w:r>
        <w:rPr>
          <w:vertAlign w:val="baseline"/>
        </w:rPr>
      </w:r>
    </w:p>
    <w:p>
      <w:r>
        <w:rPr>
          <w:color w:val="000000"/>
          <w:rFonts w:ascii="Times New Roman" w:hAnsi="Times New Roman"/>
          <w:sz w:val="24"/>
          <w:vertAlign w:val="baseline"/>
        </w:rPr>
        <w:t xml:space="preserve">More specifically, Idaho Power requested the Commission modify the PCA mechanism as it appears on page 6 of Order No. 27463 to read as follows:</w:t>
      </w:r>
      <w:r>
        <w:rPr>
          <w:vertAlign w:val="baseline"/>
        </w:rPr>
      </w:r>
    </w:p>
    <w:p>
      <w:r>
        <w:rPr>
          <w:color w:val="000000"/>
          <w:rFonts w:ascii="Times New Roman" w:hAnsi="Times New Roman"/>
          <w:sz w:val="24"/>
          <w:vertAlign w:val="baseline"/>
        </w:rPr>
        <w:t xml:space="preserve">1.Adjust from the primary energy level of 999,360 MWh to first block energy level of 1,051,200 MWh (a 51,840 MWh shift to the first block).</w:t>
      </w:r>
      <w:r>
        <w:rPr>
          <w:vertAlign w:val="baseline"/>
        </w:rPr>
      </w:r>
    </w:p>
    <w:p>
      <w:r>
        <w:rPr>
          <w:vertAlign w:val="baseline"/>
        </w:rPr>
      </w:r>
    </w:p>
    <w:p>
      <w:r>
        <w:rPr>
          <w:color w:val="000000"/>
          <w:rFonts w:ascii="Times New Roman" w:hAnsi="Times New Roman"/>
          <w:sz w:val="24"/>
          <w:vertAlign w:val="baseline"/>
        </w:rPr>
        <w:t xml:space="preserve">2.Assume that the change from primary energy to first block energy (51,840 MWh)  results in a change to the Idaho retail allocation from 84.9 percent to 85.0 percent.</w:t>
      </w:r>
      <w:r>
        <w:rPr>
          <w:vertAlign w:val="baseline"/>
        </w:rPr>
      </w:r>
    </w:p>
    <w:p>
      <w:r>
        <w:rPr>
          <w:vertAlign w:val="baseline"/>
        </w:rPr>
      </w:r>
    </w:p>
    <w:p>
      <w:r>
        <w:rPr>
          <w:color w:val="000000"/>
          <w:rFonts w:ascii="Times New Roman" w:hAnsi="Times New Roman"/>
          <w:sz w:val="24"/>
          <w:vertAlign w:val="baseline"/>
        </w:rPr>
        <w:t xml:space="preserve">3.Although the second block energy revenue is unknown because the price will float with the market, the 16.84 m/kWh rate used for the firm load growth rate will be used for determining a normalized secondary revenue amount.  Adjust the normalized energy, price and revenue of second block of energy as follows:.</w:t>
      </w:r>
      <w:r>
        <w:rPr>
          <w:vertAlign w:val="baseline"/>
        </w:rPr>
      </w:r>
    </w:p>
    <w:p>
      <w:r>
        <w:rPr>
          <w:vertAlign w:val="baseline"/>
        </w:rPr>
      </w:r>
    </w:p>
    <w:p>
      <w:r>
        <w:rPr>
          <w:color w:val="000000"/>
          <w:rFonts w:ascii="Times New Roman" w:hAnsi="Times New Roman"/>
          <w:sz w:val="24"/>
          <w:vertAlign w:val="baseline"/>
        </w:rPr>
        <w:t xml:space="preserve">NormalizedNormalizedNormalized</w:t>
      </w:r>
      <w:r>
        <w:rPr>
          <w:vertAlign w:val="baseline"/>
        </w:rPr>
      </w:r>
    </w:p>
    <w:p>
      <w:r>
        <w:rPr>
          <w:color w:val="000000"/>
          <w:rFonts w:ascii="Times New Roman" w:hAnsi="Times New Roman"/>
          <w:sz w:val="24"/>
          <w:vertAlign w:val="baseline"/>
        </w:rPr>
        <w:t xml:space="preserve">    Energy   </w:t>
      </w:r>
      <w:r>
        <w:rPr>
          <w:color w:val="000000"/>
          <w:rFonts w:ascii="Times New Roman" w:hAnsi="Times New Roman"/>
          <w:sz w:val="24"/>
          <w:vertAlign w:val="baseline"/>
        </w:rPr>
        <w:t xml:space="preserve">  Price (mills)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Revenue  </w:t>
      </w:r>
      <w:r>
        <w:rPr>
          <w:vertAlign w:val="baseline"/>
        </w:rPr>
      </w:r>
    </w:p>
    <w:p>
      <w:r>
        <w:rPr>
          <w:vertAlign w:val="baseline"/>
        </w:rPr>
      </w:r>
    </w:p>
    <w:p>
      <w:r>
        <w:rPr>
          <w:color w:val="000000"/>
          <w:rFonts w:ascii="Times New Roman" w:hAnsi="Times New Roman"/>
          <w:sz w:val="24"/>
          <w:vertAlign w:val="baseline"/>
        </w:rPr>
        <w:t xml:space="preserve">Secondary Energy   590,678          23.00$13,585,594</w:t>
      </w:r>
      <w:r>
        <w:rPr>
          <w:vertAlign w:val="baseline"/>
        </w:rPr>
      </w:r>
    </w:p>
    <w:p>
      <w:r>
        <w:rPr>
          <w:color w:val="000000"/>
          <w:rFonts w:ascii="Times New Roman" w:hAnsi="Times New Roman"/>
          <w:sz w:val="24"/>
          <w:vertAlign w:val="baseline"/>
        </w:rPr>
        <w:t xml:space="preserve">Second Block Energy   538,838         16.84    9,074,032</w:t>
      </w:r>
      <w:r>
        <w:rPr>
          <w:vertAlign w:val="baseline"/>
        </w:rPr>
      </w:r>
    </w:p>
    <w:p>
      <w:r>
        <w:rPr>
          <w:vertAlign w:val="baseline"/>
        </w:rPr>
      </w:r>
    </w:p>
    <w:p>
      <w:r>
        <w:rPr>
          <w:color w:val="000000"/>
          <w:rFonts w:ascii="Times New Roman" w:hAnsi="Times New Roman"/>
          <w:sz w:val="24"/>
          <w:vertAlign w:val="baseline"/>
        </w:rPr>
        <w:t xml:space="preserve">4.Track the actual second block energy revenues, just as actual secondary revenues are tracked for Power Cost Adjustment true-up purposes.</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vertAlign w:val="baseline"/>
        </w:rPr>
      </w:r>
    </w:p>
    <w:p>
      <w:r>
        <w:rPr>
          <w:color w:val="000000"/>
          <w:rFonts w:ascii="Times New Roman" w:hAnsi="Times New Roman"/>
          <w:sz w:val="24"/>
          <w:vertAlign w:val="baseline"/>
        </w:rPr>
        <w:t xml:space="preserve">Staff generally concurred in the changes proposed in Idaho Power’s Petition for Clarification.  However, it recommended that in paragraph no. 3, the word “secondary” should be replaced with “second block” to reflect the fact that the new contract is being addressed.  Staff also stated Idaho Power agreed to that revision.</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Idaho Power Company is an electrical corporation subject to the Commission’s regulation under Title 61 of the Idaho Public Utilities Law.  </w:t>
      </w:r>
      <w:r>
        <w:rPr>
          <w:color w:val="000000"/>
          <w:rFonts w:ascii="Times New Roman" w:hAnsi="Times New Roman"/>
          <w:sz w:val="24"/>
          <w:vertAlign w:val="baseline"/>
        </w:rPr>
        <w:t xml:space="preserve">The Commission has authority pursuant to</w:t>
      </w:r>
      <w:r>
        <w:rPr>
          <w:color w:val="000000"/>
          <w:rFonts w:ascii="Times New Roman" w:hAnsi="Times New Roman"/>
          <w:sz w:val="24"/>
          <w:vertAlign w:val="baseline"/>
        </w:rPr>
        <w:t xml:space="preserve"> Idaho Code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61-307, 61-502 and 61-503 to approve utility contracts and the rates contained therein.  </w:t>
      </w:r>
      <w:r>
        <w:rPr>
          <w:color w:val="000000"/>
          <w:rFonts w:ascii="Times New Roman" w:hAnsi="Times New Roman"/>
          <w:sz w:val="24"/>
          <w:vertAlign w:val="baseline"/>
        </w:rPr>
        <w:t xml:space="preserve">The  Commission finds that clarification is appropriate to ensure consistency between the PCA mechanism modifications approved in the general PCA case, IPC-E-98-5, in Order No. 27516, and  the Commission’s decision in this case.  The Commission finds that, other than the Staff response, no other response to the Petition for Clarification was filed.  The Commission finds that it is in the public interest to grant the Petition for Clarification as modified by Staff.</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for Clarification</w:t>
      </w:r>
      <w:r>
        <w:rPr>
          <w:color w:val="000000"/>
          <w:rFonts w:ascii="Times New Roman" w:hAnsi="Times New Roman"/>
          <w:sz w:val="24"/>
          <w:vertAlign w:val="baseline"/>
        </w:rPr>
        <w:t xml:space="preserve"> filed by</w:t>
      </w:r>
      <w:r>
        <w:rPr>
          <w:color w:val="000000"/>
          <w:rFonts w:ascii="Times New Roman" w:hAnsi="Times New Roman"/>
          <w:sz w:val="24"/>
          <w:vertAlign w:val="baseline"/>
        </w:rPr>
        <w:t xml:space="preserve"> Idaho Power </w:t>
      </w:r>
      <w:r>
        <w:rPr>
          <w:color w:val="000000"/>
          <w:rFonts w:ascii="Times New Roman" w:hAnsi="Times New Roman"/>
          <w:sz w:val="24"/>
          <w:vertAlign w:val="baseline"/>
        </w:rPr>
        <w:t xml:space="preserve">is hereby granted with the Staff modification and the PCA mechanism, as it relates to the FMC contract, found on page 6 of Commission Order No. 27463 now reads</w:t>
      </w:r>
      <w:r>
        <w:rPr>
          <w:color w:val="000000"/>
          <w:rFonts w:ascii="Times New Roman" w:hAnsi="Times New Roman"/>
          <w:sz w:val="24"/>
          <w:vertAlign w:val="baseline"/>
        </w:rPr>
        <w:t xml:space="preserve"> as follows:</w:t>
      </w:r>
      <w:r>
        <w:rPr>
          <w:vertAlign w:val="baseline"/>
        </w:rPr>
      </w:r>
    </w:p>
    <w:p>
      <w:r>
        <w:rPr>
          <w:color w:val="000000"/>
          <w:rFonts w:ascii="Times New Roman" w:hAnsi="Times New Roman"/>
          <w:sz w:val="24"/>
          <w:vertAlign w:val="baseline"/>
        </w:rPr>
        <w:t xml:space="preserve">1.Adjust from the primary energy level of 999,360 MWh to first block energy level of 1,051,200 MWh (a 51,840 MWh shift to the first block).</w:t>
      </w:r>
      <w:r>
        <w:rPr>
          <w:vertAlign w:val="baseline"/>
        </w:rPr>
      </w:r>
    </w:p>
    <w:p>
      <w:r>
        <w:rPr>
          <w:vertAlign w:val="baseline"/>
        </w:rPr>
      </w:r>
    </w:p>
    <w:p>
      <w:r>
        <w:rPr>
          <w:color w:val="000000"/>
          <w:rFonts w:ascii="Times New Roman" w:hAnsi="Times New Roman"/>
          <w:sz w:val="24"/>
          <w:vertAlign w:val="baseline"/>
        </w:rPr>
        <w:t xml:space="preserve">2.Assume that the change from primary energy to first block energy (51,840 MWh)  results in a change to the Idaho retail allocation from 84.9 percent to 85.0 percent.</w:t>
      </w:r>
      <w:r>
        <w:rPr>
          <w:vertAlign w:val="baseline"/>
        </w:rPr>
      </w:r>
    </w:p>
    <w:p>
      <w:r>
        <w:rPr>
          <w:vertAlign w:val="baseline"/>
        </w:rPr>
      </w:r>
    </w:p>
    <w:p>
      <w:r>
        <w:rPr>
          <w:color w:val="000000"/>
          <w:rFonts w:ascii="Times New Roman" w:hAnsi="Times New Roman"/>
          <w:sz w:val="24"/>
          <w:vertAlign w:val="baseline"/>
        </w:rPr>
        <w:t xml:space="preserve">3.Although the second block energy revenue is unknown because the price will float with the market, the 16.84 m/kWh rate used for the firm load growth rate will be used for determining a normalized </w:t>
      </w:r>
      <w:r>
        <w:rPr>
          <w:color w:val="000000"/>
          <w:rFonts w:ascii="Times New Roman" w:hAnsi="Times New Roman"/>
          <w:sz w:val="24"/>
          <w:vertAlign w:val="baseline"/>
        </w:rPr>
        <w:t xml:space="preserve">second block </w:t>
      </w:r>
      <w:r>
        <w:rPr>
          <w:color w:val="000000"/>
          <w:rFonts w:ascii="Times New Roman" w:hAnsi="Times New Roman"/>
          <w:sz w:val="24"/>
          <w:vertAlign w:val="baseline"/>
        </w:rPr>
        <w:t xml:space="preserve">revenue amount.  Adjust the normalized energy, price and revenue of second block of energy as follows:.</w:t>
      </w:r>
      <w:r>
        <w:rPr>
          <w:vertAlign w:val="baseline"/>
        </w:rPr>
      </w:r>
    </w:p>
    <w:p>
      <w:r>
        <w:rPr>
          <w:vertAlign w:val="baseline"/>
        </w:rPr>
      </w:r>
    </w:p>
    <w:p>
      <w:r>
        <w:rPr>
          <w:color w:val="000000"/>
          <w:rFonts w:ascii="Times New Roman" w:hAnsi="Times New Roman"/>
          <w:sz w:val="24"/>
          <w:vertAlign w:val="baseline"/>
        </w:rPr>
        <w:t xml:space="preserve">NormalizedNormalizedNormalized</w:t>
      </w:r>
      <w:r>
        <w:rPr>
          <w:vertAlign w:val="baseline"/>
        </w:rPr>
      </w:r>
    </w:p>
    <w:p>
      <w:r>
        <w:rPr>
          <w:color w:val="000000"/>
          <w:rFonts w:ascii="Times New Roman" w:hAnsi="Times New Roman"/>
          <w:sz w:val="24"/>
          <w:vertAlign w:val="baseline"/>
        </w:rPr>
        <w:t xml:space="preserve">    Energy   </w:t>
      </w:r>
      <w:r>
        <w:rPr>
          <w:color w:val="000000"/>
          <w:rFonts w:ascii="Times New Roman" w:hAnsi="Times New Roman"/>
          <w:sz w:val="24"/>
          <w:vertAlign w:val="baseline"/>
        </w:rPr>
        <w:t xml:space="preserve">  Price (mills)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Revenue  </w:t>
      </w:r>
      <w:r>
        <w:rPr>
          <w:vertAlign w:val="baseline"/>
        </w:rPr>
      </w:r>
    </w:p>
    <w:p>
      <w:r>
        <w:rPr>
          <w:vertAlign w:val="baseline"/>
        </w:rPr>
      </w:r>
    </w:p>
    <w:p>
      <w:r>
        <w:rPr>
          <w:color w:val="000000"/>
          <w:rFonts w:ascii="Times New Roman" w:hAnsi="Times New Roman"/>
          <w:sz w:val="24"/>
          <w:vertAlign w:val="baseline"/>
        </w:rPr>
        <w:t xml:space="preserve">Secondary Energy   590,678        23.00$13,585,594</w:t>
      </w:r>
      <w:r>
        <w:rPr>
          <w:vertAlign w:val="baseline"/>
        </w:rPr>
      </w:r>
    </w:p>
    <w:p>
      <w:r>
        <w:rPr>
          <w:color w:val="000000"/>
          <w:rFonts w:ascii="Times New Roman" w:hAnsi="Times New Roman"/>
          <w:sz w:val="24"/>
          <w:vertAlign w:val="baseline"/>
        </w:rPr>
        <w:t xml:space="preserve">Second Block Energy   538,838  16.84    9,074,032</w:t>
      </w:r>
      <w:r>
        <w:rPr>
          <w:vertAlign w:val="baseline"/>
        </w:rPr>
      </w:r>
    </w:p>
    <w:p>
      <w:r>
        <w:rPr>
          <w:vertAlign w:val="baseline"/>
        </w:rPr>
      </w:r>
    </w:p>
    <w:p>
      <w:r>
        <w:rPr>
          <w:color w:val="000000"/>
          <w:rFonts w:ascii="Times New Roman" w:hAnsi="Times New Roman"/>
          <w:sz w:val="24"/>
          <w:vertAlign w:val="baseline"/>
        </w:rPr>
        <w:t xml:space="preserve">4.Track the actual second block energy revenues, just as actual secondary revenues are tracked for Power Cost Adjustment true-up purposes.</w:t>
      </w:r>
      <w:r>
        <w:rPr>
          <w:vertAlign w:val="baseline"/>
        </w:rPr>
      </w:r>
    </w:p>
    <w:p>
      <w:r>
        <w:rPr>
          <w:vertAlign w:val="baseline"/>
        </w:rPr>
      </w:r>
    </w:p>
    <w:p>
      <w:r>
        <w:rPr>
          <w:color w:val="000000"/>
          <w:rFonts w:ascii="Times New Roman" w:hAnsi="Times New Roman"/>
          <w:sz w:val="24"/>
          <w:vertAlign w:val="baseline"/>
        </w:rPr>
        <w:t xml:space="preserve">THIS IS A FINAL ORDER.  A</w:t>
      </w:r>
      <w:r>
        <w:rPr>
          <w:color w:val="000000"/>
          <w:rFonts w:ascii="Times New Roman" w:hAnsi="Times New Roman"/>
          <w:sz w:val="24"/>
          <w:vertAlign w:val="baseline"/>
        </w:rPr>
        <w:t xml:space="preserve">ny person interested in this Order (or in issues finally decided by this Order) may petition for reconsideration of this Order within twenty-one (21) days of the service date of this Order with regard to any matter decided in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O:ipce9713.cc8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