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Association of Counties and the Association of Idaho Cities petitioned to intervene in this case on February 19,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Association of Counties and the Association of Idaho Cities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Daniel G. Chadwick</w:t>
      </w:r>
      <w:r>
        <w:rPr>
          <w:vertAlign w:val="baseline"/>
        </w:rPr>
      </w:r>
    </w:p>
    <w:p>
      <w:r>
        <w:rPr>
          <w:color w:val="000000"/>
          <w:rFonts w:ascii="Times New Roman" w:hAnsi="Times New Roman"/>
          <w:sz w:val="24"/>
          <w:vertAlign w:val="baseline"/>
        </w:rPr>
        <w:t xml:space="preserve">Attorney at Law</w:t>
      </w:r>
      <w:r>
        <w:rPr>
          <w:vertAlign w:val="baseline"/>
        </w:rPr>
      </w:r>
    </w:p>
    <w:p>
      <w:r>
        <w:rPr>
          <w:color w:val="000000"/>
          <w:rFonts w:ascii="Times New Roman" w:hAnsi="Times New Roman"/>
          <w:sz w:val="24"/>
          <w:vertAlign w:val="baseline"/>
        </w:rPr>
        <w:t xml:space="preserve">PO Box 1623</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