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COMMISSION’S OWN INVESTIGATION INTO THE COSTS OF PROVIDING ELECTRIC SERVICE OF IDAHO POWER COMPANY.</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IPC-E-98-2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27430</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The Washington Water Power Company petitioned to intervene in this case on March 11, 1998,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The Washington Water Power Company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R. Blair StrongTom Dukich</w:t>
      </w:r>
      <w:r>
        <w:rPr>
          <w:vertAlign w:val="baseline"/>
        </w:rPr>
      </w:r>
    </w:p>
    <w:p>
      <w:r>
        <w:rPr>
          <w:color w:val="000000"/>
          <w:rFonts w:ascii="Times New Roman" w:hAnsi="Times New Roman"/>
          <w:sz w:val="24"/>
          <w:vertAlign w:val="baseline"/>
        </w:rPr>
        <w:t xml:space="preserve">Paine, Hamblen, Coffin, et.alManager, Rates &amp; Tariffs</w:t>
      </w:r>
      <w:r>
        <w:rPr>
          <w:vertAlign w:val="baseline"/>
        </w:rPr>
      </w:r>
    </w:p>
    <w:p>
      <w:r>
        <w:rPr>
          <w:color w:val="000000"/>
          <w:rFonts w:ascii="Times New Roman" w:hAnsi="Times New Roman"/>
          <w:sz w:val="24"/>
          <w:vertAlign w:val="baseline"/>
        </w:rPr>
        <w:t xml:space="preserve">717 W. Sprague Ave., Suite 1200The Washington Water Power Company</w:t>
      </w:r>
      <w:r>
        <w:rPr>
          <w:vertAlign w:val="baseline"/>
        </w:rPr>
      </w:r>
    </w:p>
    <w:p>
      <w:r>
        <w:rPr>
          <w:color w:val="000000"/>
          <w:rFonts w:ascii="Times New Roman" w:hAnsi="Times New Roman"/>
          <w:sz w:val="24"/>
          <w:vertAlign w:val="baseline"/>
        </w:rPr>
        <w:t xml:space="preserve">Spokane, WA 99201-3505PO Box 3727</w:t>
      </w:r>
      <w:r>
        <w:rPr>
          <w:vertAlign w:val="baseline"/>
        </w:rPr>
      </w:r>
    </w:p>
    <w:p>
      <w:r>
        <w:rPr>
          <w:color w:val="000000"/>
          <w:rFonts w:ascii="Times New Roman" w:hAnsi="Times New Roman"/>
          <w:sz w:val="24"/>
          <w:vertAlign w:val="baseline"/>
        </w:rPr>
        <w:t xml:space="preserve">Spokane, WA 99220-3727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March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bls/O:ipce982.in9</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25,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