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30, 1996</w:t>
      </w:r>
      <w:r>
        <w:rPr/>
      </w:r>
    </w:p>
    <w:p>
      <w:r>
        <w:rPr/>
      </w:r>
    </w:p>
    <w:p>
      <w:r>
        <w:rPr>
          <w:color w:val="000000"/>
          <w:rFonts w:ascii="Times New Roman" w:hAnsi="Times New Roman"/>
          <w:sz w:val="24"/>
        </w:rPr>
        <w:t xml:space="preserve">RE:CASE NO.  UPL-E-96-3</w:t>
      </w:r>
      <w:r>
        <w:rPr/>
      </w:r>
    </w:p>
    <w:p>
      <w:r>
        <w:rPr>
          <w:color w:val="000000"/>
          <w:rFonts w:ascii="Times New Roman" w:hAnsi="Times New Roman"/>
          <w:sz w:val="24"/>
        </w:rPr>
        <w:t xml:space="preserve">POWER PURCHASE AGREEMENT</w:t>
      </w:r>
      <w:r>
        <w:rPr/>
      </w:r>
    </w:p>
    <w:p>
      <w:r>
        <w:rPr>
          <w:color w:val="000000"/>
          <w:rFonts w:ascii="Times New Roman" w:hAnsi="Times New Roman"/>
          <w:sz w:val="24"/>
        </w:rPr>
        <w:t xml:space="preserve">PACIFICORP/EARTH POWER RESOURCES, INC.</w:t>
      </w:r>
      <w:r>
        <w:rPr/>
      </w:r>
    </w:p>
    <w:p>
      <w:r>
        <w:rPr/>
      </w:r>
    </w:p>
    <w:p>
      <w:r>
        <w:rPr/>
      </w:r>
    </w:p>
    <w:p>
      <w:r>
        <w:rPr>
          <w:color w:val="000000"/>
          <w:rFonts w:ascii="Times New Roman" w:hAnsi="Times New Roman"/>
          <w:sz w:val="24"/>
        </w:rPr>
        <w:t xml:space="preserve">On August 1, 1996, PacifiCorp dba Utah Power &amp; Light Company filed an Application with the Idaho Public Utilities Commission (Commission) requesting approval of a Power Purchase Agreement (Agreement) between PacifiCorp and Earth Power Resources, Inc. (Earth Power).  </w:t>
      </w:r>
      <w:r>
        <w:rPr/>
      </w:r>
    </w:p>
    <w:p>
      <w:r>
        <w:rPr>
          <w:color w:val="000000"/>
          <w:rFonts w:ascii="Times New Roman" w:hAnsi="Times New Roman"/>
          <w:sz w:val="24"/>
        </w:rPr>
        <w:t xml:space="preserve">Earth Power, a Nevada corporation, is the developer of the Lee Generation Project I, a proposed 999 kW stand-alone project located within the boundaries of Section 33, Township 16 North, Range 29 East, MDM, Churchill County, Nevada.  The project site is held under a sublease of geothermal lease N-54514 issued by the Department of Interior, Bureau of Land Management.  As represented, the project is and will continue to be a qualifying facility (QF) as defined in PURPA and related federal statutes (18 CFR Part 292).  Under the terms of the Agreement, Earth Power will arrange for transmission (wheeling) of its power to PacifiCorp at PacifiCorp’s Midpoint Substation in Idaho.  The estimated annual energy production is 8,750,000 kWh.  The scheduled operation date is to occur no later than December 31, 1998.  </w:t>
      </w:r>
      <w:r>
        <w:rPr/>
      </w:r>
    </w:p>
    <w:p>
      <w:r>
        <w:rPr>
          <w:color w:val="000000"/>
          <w:rFonts w:ascii="Times New Roman" w:hAnsi="Times New Roman"/>
          <w:sz w:val="24"/>
        </w:rPr>
        <w:t xml:space="preserve">The Agreement dated June 28, 1996, provides for a 20-year contract term and contains avoided cost rates based on the levelized avoided costs approved by the Commission in Order No. 26135, Case No. UPL-E-95-2.  Utah Power requests that the Commission</w:t>
      </w:r>
      <w:r>
        <w:rPr/>
      </w:r>
    </w:p>
    <w:p>
      <w:r>
        <w:rPr>
          <w:color w:val="000000"/>
          <w:rFonts w:ascii="Times New Roman" w:hAnsi="Times New Roman"/>
          <w:sz w:val="24"/>
        </w:rPr>
        <w:t xml:space="preserve">a.  Approve the Agreement</w:t>
      </w:r>
      <w:r>
        <w:rPr/>
      </w:r>
    </w:p>
    <w:p>
      <w:r>
        <w:rPr/>
      </w:r>
    </w:p>
    <w:p>
      <w:r>
        <w:rPr>
          <w:color w:val="000000"/>
          <w:rFonts w:ascii="Times New Roman" w:hAnsi="Times New Roman"/>
          <w:sz w:val="24"/>
        </w:rPr>
        <w:t xml:space="preserve">b.  Order that all of Utah Power’s costs of purchasing power and energy under the Agreement, as allocated to the state of Idaho, will be allowed as prudently incurred expenses for ratemaking purposes.</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reviewed the Power Purchase Agreement submitted in Case No. UPL-E-96-3 and provides the following comments and recommendations:</w:t>
      </w:r>
      <w:r>
        <w:rPr/>
      </w:r>
    </w:p>
    <w:p>
      <w:r>
        <w:rPr>
          <w:color w:val="000000"/>
          <w:rFonts w:ascii="Times New Roman" w:hAnsi="Times New Roman"/>
          <w:sz w:val="24"/>
        </w:rPr>
        <w:t xml:space="preserve">1.  Staff would prefer that the firm energy prices listed in Agreement Sections 5.1.2 and 5.1.3 be combined into a single non-adjustable rate.  The adjustable portion of 1.65 mills/kWh as listed in Section 5.1.3 was adopted as a starting point for variable O&amp;M in the combined avoided cost case.  An escalation rate for variable O&amp;M of 3.21% was also established at the same time.  The variable rate of 1.65 mills/kWh was thus effective from 1-31-95 to 6-30-95.  Since the rate escalates at a known fixed rate, it can be calculated in advance for the entire life of the contract.  The 20-year levelized variable O&amp;M rate is 2.1853 mills/kWh for a 1997 on-line date and 2.2554 for a 1998 on-line date.  These levelized amounts can be added to the non-levelized amounts in Section 5.12 of the Agreement, making it possible to list only a single firm energy price for each alternative on-line date.  This change would relieve the Commission of having to explicitly change the adjustable rate each year by issuing an Order.</w:t>
      </w:r>
      <w:r>
        <w:rPr/>
      </w:r>
    </w:p>
    <w:p>
      <w:r>
        <w:rPr>
          <w:color w:val="000000"/>
          <w:rFonts w:ascii="Times New Roman" w:hAnsi="Times New Roman"/>
          <w:sz w:val="24"/>
        </w:rPr>
        <w:t xml:space="preserve">2.  The security requirements in Appendix A should be updated to reflect the insurance coverages which are now available.  The requirements as listed are from Case No. U-1006-292, Order No. 21690, but have been effectively superseded by the requirements in IPC-E-93-22, Order No. 25240.</w:t>
      </w:r>
      <w:r>
        <w:rPr/>
      </w:r>
    </w:p>
    <w:p>
      <w:r>
        <w:rPr>
          <w:color w:val="000000"/>
          <w:rFonts w:ascii="Times New Roman" w:hAnsi="Times New Roman"/>
          <w:sz w:val="24"/>
        </w:rPr>
        <w:t xml:space="preserve">3.  The repayment schedule, Exhibit A-2, should be recalculated.  The calculations use an interest rate of 10.13% which is from the Company’s RAMPP-4.  The Commission Orders require that the same interest rate be used for calculating repayment obligation as is used to calculate rates using the SAR model.  The model for less than one megawatt rates uses an interest rate of 10.27%, the utility’s weighted cost of capital.</w:t>
      </w:r>
      <w:r>
        <w:rPr/>
      </w:r>
    </w:p>
    <w:p>
      <w:r>
        <w:rPr/>
      </w:r>
    </w:p>
    <w:p>
      <w:r>
        <w:rPr>
          <w:color w:val="000000"/>
          <w:rFonts w:ascii="Times New Roman" w:hAnsi="Times New Roman"/>
          <w:sz w:val="24"/>
        </w:rPr>
        <w:t xml:space="preserve">The levelized prices in column 3 are also incorrect.  They use an adjustable amount of 1.65 mills/kWh.  The levelized amounts which should be used are discussed in paragraph 1 above.</w:t>
      </w:r>
      <w:r>
        <w:rPr/>
      </w:r>
    </w:p>
    <w:p>
      <w:r>
        <w:rPr>
          <w:color w:val="000000"/>
          <w:rFonts w:ascii="Times New Roman" w:hAnsi="Times New Roman"/>
          <w:sz w:val="24"/>
        </w:rPr>
        <w:t xml:space="preserve">4.  Rates contained in the contract are from Order No. 26135 in Case No.  UPL-E-95-2 (rates in effect between 8-30-95 and 6-30-96).</w:t>
      </w:r>
      <w:r>
        <w:rPr/>
      </w:r>
    </w:p>
    <w:p>
      <w:r>
        <w:rPr>
          <w:color w:val="000000"/>
          <w:rFonts w:ascii="Times New Roman" w:hAnsi="Times New Roman"/>
          <w:sz w:val="24"/>
        </w:rPr>
        <w:t xml:space="preserve">Staff recommends that the proposed changes identified above be addressed by the parties by subsequent amendment.  Staff recommends that the submitted Agreement (as amended) be approved.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parties be required to amend the Power Purchase Agreement in the manner set forth above?  If not, should the Agreement be approved as filed?  If an amendment is required, should the Commission approve the Agreement with qualifying language?</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vld/M:UPL-E-96-3.sw2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