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SUPPLEMENTAL </w:t>
      </w:r>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26, 1998</w:t>
      </w:r>
      <w:r>
        <w:rPr/>
      </w:r>
    </w:p>
    <w:p>
      <w:r>
        <w:rPr/>
      </w:r>
    </w:p>
    <w:p>
      <w:r>
        <w:rPr>
          <w:color w:val="000000"/>
          <w:rFonts w:ascii="Times New Roman" w:hAnsi="Times New Roman"/>
          <w:sz w:val="24"/>
        </w:rPr>
        <w:t xml:space="preserve">RE:CASE NOS. IPC-E-98-2, UPL-E-98-1, AND WWP-E-98-1</w:t>
      </w:r>
      <w:r>
        <w:rPr/>
      </w:r>
    </w:p>
    <w:p>
      <w:r>
        <w:rPr>
          <w:color w:val="000000"/>
          <w:rFonts w:ascii="Times New Roman" w:hAnsi="Times New Roman"/>
          <w:sz w:val="24"/>
        </w:rPr>
        <w:t xml:space="preserve">APPLICATION OF COMMERCIAL UTILITY CUSTOMERS FOR INTERVENOR FUNDING</w:t>
      </w:r>
      <w:r>
        <w:rPr/>
      </w:r>
    </w:p>
    <w:p>
      <w:r>
        <w:rPr/>
      </w:r>
    </w:p>
    <w:p>
      <w:r>
        <w:rPr/>
      </w:r>
    </w:p>
    <w:p>
      <w:r>
        <w:rPr>
          <w:color w:val="000000"/>
          <w:rFonts w:ascii="Times New Roman" w:hAnsi="Times New Roman"/>
          <w:sz w:val="24"/>
        </w:rPr>
        <w:t xml:space="preserve">On August 24, 1998, Idaho Power filed a Motion in Opposition to the Application of the Commercial Utility Customers for intervenor funding in Case No. IPC-E-98-2.  </w:t>
      </w:r>
      <w:r>
        <w:rPr/>
      </w:r>
    </w:p>
    <w:p>
      <w:r>
        <w:rPr>
          <w:color w:val="000000"/>
          <w:rFonts w:ascii="Times New Roman" w:hAnsi="Times New Roman"/>
          <w:sz w:val="24"/>
        </w:rPr>
        <w:t xml:space="preserve">Initially, Idaho Power questions whether intervenor funding is available to a docket opened by the Commission “where no specific findings of fact or legal determinations are to be made.”  </w:t>
      </w:r>
      <w:r>
        <w:rPr/>
      </w:r>
    </w:p>
    <w:p>
      <w:r>
        <w:rPr>
          <w:color w:val="000000"/>
          <w:rFonts w:ascii="Times New Roman" w:hAnsi="Times New Roman"/>
          <w:sz w:val="24"/>
        </w:rPr>
        <w:t xml:space="preserve">Second, Idaho Power argues that the CUC’s request for intervenor funding is excessive.  Idaho Power argues that CUC’s Application “does not include an itemization of the work performed that takes into account the economies of effort realized by CUC’s filing of duplicate testimony in all three cases.”  Idaho Power argues that this “substantially reduced the amount of work that had to be performed by the CUC’s attorney and its witness.”  The Company concludes that the amount sought by the CUC is excessive on its face and that if the Commission determines that intervenor funding is appropriate in this proceeding, that the amount should be reduced to take into account the similar awards that would be authorized in the Water Power and Utah Power cases.</w:t>
      </w:r>
      <w:r>
        <w:rPr/>
      </w:r>
    </w:p>
    <w:p>
      <w:r>
        <w:rPr>
          <w:color w:val="000000"/>
          <w:rFonts w:ascii="Times New Roman" w:hAnsi="Times New Roman"/>
          <w:sz w:val="24"/>
        </w:rPr>
        <w:t xml:space="preserve">Idaho Power recommends, that if the Commission authorizes intervenor funding in this case, that the award should be deducted from the 1997 outstanding revenue sharing amount.  This, the Company contends, would avoid requiring Idaho Power to defer and charge carrying costs on this amount as well as avoiding the need to track a relatively small amount for a period of time until the next general revenue requirement proceeding.</w:t>
      </w:r>
      <w:r>
        <w:rPr/>
      </w:r>
    </w:p>
    <w:p>
      <w:r>
        <w:rPr>
          <w:color w:val="000000"/>
          <w:rFonts w:ascii="Times New Roman" w:hAnsi="Times New Roman"/>
          <w:sz w:val="24"/>
        </w:rPr>
        <w:t xml:space="preserve">The Commission Staff does not object to this treatment in the event the Commission awards intervenor funding.</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vld/M:IPC-E-98-2.bp2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