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TONY JONES</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28, 1995</w:t>
      </w:r>
      <w:r>
        <w:rPr/>
      </w:r>
    </w:p>
    <w:p>
      <w:r>
        <w:rPr/>
      </w:r>
    </w:p>
    <w:p>
      <w:r>
        <w:rPr>
          <w:color w:val="000000"/>
          <w:rFonts w:ascii="Times New Roman  (TT)" w:hAnsi="Times New Roman  (TT)"/>
          <w:sz w:val="24"/>
        </w:rPr>
        <w:t xml:space="preserve">RE:CASE NO. WWP-E-95-4</w:t>
      </w:r>
      <w:r>
        <w:rPr/>
      </w:r>
    </w:p>
    <w:p>
      <w:r>
        <w:rPr>
          <w:color w:val="000000"/>
          <w:rFonts w:ascii="Times New Roman  (TT)" w:hAnsi="Times New Roman  (TT)"/>
          <w:sz w:val="24"/>
        </w:rPr>
        <w:t xml:space="preserve">$2,258,000 PCA SURCHARGE</w:t>
      </w:r>
      <w:r>
        <w:rPr/>
      </w:r>
    </w:p>
    <w:p>
      <w:r>
        <w:rPr/>
      </w:r>
    </w:p>
    <w:p>
      <w:r>
        <w:rPr/>
      </w:r>
    </w:p>
    <w:p>
      <w:r>
        <w:rPr/>
      </w:r>
    </w:p>
    <w:p>
      <w:r>
        <w:rPr>
          <w:color w:val="000000"/>
          <w:rFonts w:ascii="Times New Roman  (TT)" w:hAnsi="Times New Roman  (TT)"/>
          <w:sz w:val="24"/>
        </w:rPr>
        <w:t xml:space="preserve">On June 30, 1995 The Washington Water Power Company (Water Power; Company) in Case No. WWP-E-95-4 filed an Application with the Idaho Public Utilities Commission (Commission) proposing a revision to the Company’s Electric Tariff Schedule 66—Temporary Power Cost Adjustment—Idaho.  Water Power requests that the Commission approve a $2,258,000, 2.43% surcharge to Water Power’s Idaho customers.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surcharge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two surcharges:</w:t>
      </w:r>
      <w:r>
        <w:rPr>
          <w:vertAlign w:val="baseline"/>
        </w:rPr>
      </w:r>
    </w:p>
    <w:p>
      <w:r>
        <w:rPr>
          <w:color w:val="000000"/>
          <w:rFonts w:ascii="Times New Roman  (TT)" w:hAnsi="Times New Roman  (TT)"/>
          <w:sz w:val="24"/>
          <w:vertAlign w:val="baseline"/>
        </w:rPr>
        <w:t xml:space="preserve">$2,247,000 (2.45%) rebate beginning May 1, 1990</w:t>
      </w:r>
      <w:r>
        <w:rPr>
          <w:vertAlign w:val="baseline"/>
        </w:rPr>
      </w:r>
    </w:p>
    <w:p>
      <w:r>
        <w:rPr>
          <w:color w:val="000000"/>
          <w:rFonts w:ascii="Times New Roman  (TT)" w:hAnsi="Times New Roman  (TT)"/>
          <w:sz w:val="24"/>
          <w:vertAlign w:val="baseline"/>
        </w:rPr>
        <w:t xml:space="preserve">$2,314,000 (2.51%) rebate beginning May 1, 1991</w:t>
      </w:r>
      <w:r>
        <w:rPr>
          <w:vertAlign w:val="baseline"/>
        </w:rPr>
      </w:r>
    </w:p>
    <w:p>
      <w:r>
        <w:rPr>
          <w:color w:val="000000"/>
          <w:rFonts w:ascii="Times New Roman  (TT)" w:hAnsi="Times New Roman  (TT)"/>
          <w:sz w:val="24"/>
          <w:vertAlign w:val="baseline"/>
        </w:rPr>
        <w:t xml:space="preserve">$2,272,000 (2.59%) surcharge beginning November 1, 1992</w:t>
      </w:r>
      <w:r>
        <w:rPr>
          <w:vertAlign w:val="baseline"/>
        </w:rPr>
      </w:r>
    </w:p>
    <w:p>
      <w:r>
        <w:rPr>
          <w:color w:val="000000"/>
          <w:rFonts w:ascii="Times New Roman  (TT)" w:hAnsi="Times New Roman  (TT)"/>
          <w:sz w:val="24"/>
          <w:vertAlign w:val="baseline"/>
        </w:rPr>
        <w:t xml:space="preserve">$2,239,000 (2.54%) surcharge beginning January 1, 1995</w:t>
      </w:r>
      <w:r>
        <w:rPr>
          <w:vertAlign w:val="baseline"/>
        </w:rPr>
      </w:r>
    </w:p>
    <w:p>
      <w:r>
        <w:rPr>
          <w:vertAlign w:val="baseline"/>
        </w:rPr>
      </w:r>
    </w:p>
    <w:p>
      <w:r>
        <w:rPr>
          <w:color w:val="000000"/>
          <w:rFonts w:ascii="Times New Roman  (TT)" w:hAnsi="Times New Roman  (TT)"/>
          <w:sz w:val="24"/>
          <w:vertAlign w:val="baseline"/>
        </w:rPr>
        <w:t xml:space="preserve">Water Power is proposing that the requested surcharge become effective September 1, 1995, and expire August 31, 1996.  </w:t>
      </w:r>
      <w:r>
        <w:rPr>
          <w:vertAlign w:val="baseline"/>
        </w:rPr>
      </w:r>
    </w:p>
    <w:p>
      <w:r>
        <w:rPr>
          <w:color w:val="000000"/>
          <w:rFonts w:ascii="Times New Roman  (TT)" w:hAnsi="Times New Roman  (TT)"/>
          <w:sz w:val="24"/>
          <w:vertAlign w:val="baseline"/>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 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April 1995.  </w:t>
      </w:r>
      <w:r>
        <w:rPr>
          <w:vertAlign w:val="baseline"/>
        </w:rPr>
      </w:r>
    </w:p>
    <w:p>
      <w:r>
        <w:rPr>
          <w:color w:val="000000"/>
          <w:rFonts w:ascii="Times New Roman  (TT)" w:hAnsi="Times New Roman  (TT)"/>
          <w:sz w:val="24"/>
          <w:vertAlign w:val="baseline"/>
        </w:rPr>
        <w:t xml:space="preserve">As represented by Water Power, the net deferral of $2,258,000 in the Company’s PCA balancing account is the result of the sum of (1) total weather-related deferrals of $2,161,000 in the surcharge direction and (2) PURPA tracker deferrals of $97,000 in the surcharge direction.  The net deferral amount includes a true-up or correction for prior months of $56,000 in the surcharge direction.  The weather-related and PURPA tracker deferrals are more particularly described as follows:</w:t>
      </w:r>
      <w:r>
        <w:rPr>
          <w:vertAlign w:val="baseline"/>
        </w:rPr>
      </w:r>
    </w:p>
    <w:p>
      <w:r>
        <w:rPr>
          <w:vertAlign w:val="baseline"/>
        </w:rPr>
      </w:r>
    </w:p>
    <w:p>
      <w:r>
        <w:rPr>
          <w:color w:val="000000"/>
          <w:rFonts w:ascii="Times New Roman  (TT)" w:hAnsi="Times New Roman  (TT)"/>
          <w:sz w:val="24"/>
          <w:vertAlign w:val="baseline"/>
        </w:rPr>
        <w:t xml:space="preserve">1.  Weather-related deferrals</w:t>
      </w:r>
      <w:r>
        <w:rPr>
          <w:vertAlign w:val="baseline"/>
        </w:rPr>
      </w:r>
    </w:p>
    <w:p>
      <w:r>
        <w:rPr>
          <w:color w:val="000000"/>
          <w:rFonts w:ascii="Times New Roman  (TT)" w:hAnsi="Times New Roman  (TT)"/>
          <w:sz w:val="24"/>
          <w:vertAlign w:val="baseline"/>
        </w:rPr>
        <w:t xml:space="preserve">As reported by the Company, the weather-related surcharge results primarily from low streamflow conditions from September 1994 through April 1995.  These low streamflow conditions resulted in lower than normal generation from the Company’s hydroelectric plants.  The Company had to operate more expensive thermal generation plants or purchase power from other utilities to meet customer loads, which caused the Company’s power supply costs to be higher than the level authorized by the Commission.  </w:t>
      </w:r>
      <w:r>
        <w:rPr>
          <w:vertAlign w:val="baseline"/>
        </w:rPr>
      </w:r>
    </w:p>
    <w:p>
      <w:r>
        <w:rPr>
          <w:color w:val="000000"/>
          <w:rFonts w:ascii="Times New Roman  (TT)" w:hAnsi="Times New Roman  (TT)"/>
          <w:sz w:val="24"/>
          <w:vertAlign w:val="baseline"/>
        </w:rPr>
        <w:t xml:space="preserve">The Company reports that in September 1994 the actual hydro generation was 194 average megawatts below authorized and in April 1994 was 174 average megawatts below authorized.  For the entire period, hydro generation was 672 average megawatts below authorized.  Natural flow for the Spokane River where Water Power owns and operates six hydroelectric projects (18% of Company system hydro capability) during the period September 1994 through April 1995 was 134% of normal.  During this time period, however, the Company reports that natural flow was below normal four out of the eight months, and for the months of September 1994 through November 1994 was 75% of normal.  Natural flow for the Clark Fork River where the Company’s two largest electric projects are located (82% of Company system hydro capability) during the same period was 94% of normal, but was below normal six out of the eight months and for the months of September 1994 through January 1995 was 69% of normal.</w:t>
      </w:r>
      <w:r>
        <w:rPr>
          <w:vertAlign w:val="baseline"/>
        </w:rPr>
      </w:r>
    </w:p>
    <w:p>
      <w:r>
        <w:rPr>
          <w:color w:val="000000"/>
          <w:rFonts w:ascii="Times New Roman  (TT)" w:hAnsi="Times New Roman  (TT)"/>
          <w:sz w:val="24"/>
          <w:vertAlign w:val="baseline"/>
        </w:rPr>
        <w:t xml:space="preserve">The Company reports that actual weighted average secondary prices were significantly above those authorized for the months of September 1994 through January 1995 when natural flows were below normal, thus causing Water Power to purchase power at prices higher than authorized.  In April 1995, actual weighted average secondary prices were below authorized prices when flows again dropped below normal, resulting in a level of secondary sales significantly below authorized.</w:t>
      </w:r>
      <w:r>
        <w:rPr>
          <w:vertAlign w:val="baseline"/>
        </w:rPr>
      </w:r>
    </w:p>
    <w:p>
      <w:r>
        <w:rPr>
          <w:vertAlign w:val="baseline"/>
        </w:rPr>
      </w:r>
    </w:p>
    <w:p>
      <w:r>
        <w:rPr>
          <w:color w:val="000000"/>
          <w:rFonts w:ascii="Times New Roman  (TT)" w:hAnsi="Times New Roman  (TT)"/>
          <w:sz w:val="24"/>
          <w:vertAlign w:val="baseline"/>
        </w:rPr>
        <w:t xml:space="preserve">2.  PURPA tracker deferrals</w:t>
      </w:r>
      <w:r>
        <w:rPr>
          <w:vertAlign w:val="baseline"/>
        </w:rPr>
      </w:r>
    </w:p>
    <w:p>
      <w:r>
        <w:rPr>
          <w:color w:val="000000"/>
          <w:rFonts w:ascii="Times New Roman  (TT)" w:hAnsi="Times New Roman  (TT)"/>
          <w:sz w:val="24"/>
          <w:vertAlign w:val="baseline"/>
        </w:rPr>
        <w:t xml:space="preserve">Workpapers filed by the Company show deferrals for the PURPA tracker in the rebate direction for the months of September 1994 through November 1994 and deferrals in the surcharge direction for the months of December 1994 through April 1995.  These deferrals, the Company reports were due mainly to Water Power’s contract with the City of Spokane for energy purchased from their Upriver Hydro Project located on the Spokane River.</w:t>
      </w:r>
      <w:r>
        <w:rPr>
          <w:vertAlign w:val="baseline"/>
        </w:rPr>
      </w:r>
    </w:p>
    <w:p>
      <w:r>
        <w:rPr>
          <w:vertAlign w:val="baseline"/>
        </w:rPr>
      </w:r>
    </w:p>
    <w:p>
      <w:r>
        <w:rPr>
          <w:color w:val="000000"/>
          <w:rFonts w:ascii="Times New Roman  (TT)" w:hAnsi="Times New Roman  (TT)"/>
          <w:sz w:val="24"/>
          <w:vertAlign w:val="baseline"/>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TT)" w:hAnsi="Times New Roman  (TT)"/>
          <w:sz w:val="24"/>
          <w:vertAlign w:val="baseline"/>
        </w:rPr>
        <w:t xml:space="preserve">Under the Company’s proposal in this case, the monthly energy charges of the individual rate schedules are to be increased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TT)" w:hAnsi="Times New Roman  (TT)"/>
                <w:sz w:val="24"/>
                <w:vertAlign w:val="baseline"/>
              </w:rPr>
              <w:t xml:space="preserve">Increase Per </w:t>
            </w:r>
            <w:r>
              <w:rPr>
                <w:vertAlign w:val="baseline"/>
              </w:rPr>
            </w:r>
          </w:p>
          <w:p>
            <w:r>
              <w:rPr>
                <w:color w:val="000000"/>
                <w:rFonts w:ascii="Times New Roman  (TT)" w:hAnsi="Times New Roman  (TT)"/>
                <w:sz w:val="24"/>
                <w:vertAlign w:val="baseline"/>
              </w:rPr>
              <w:t xml:space="preserve">Kilowatt Hour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Present</w:t>
            </w:r>
            <w:r>
              <w:rPr>
                <w:vertAlign w:val="baseline"/>
              </w:rPr>
            </w:r>
          </w:p>
          <w:p>
            <w:r>
              <w:rPr>
                <w:color w:val="000000"/>
                <w:rFonts w:ascii="Times New Roman  (TT)" w:hAnsi="Times New Roman  (TT)"/>
                <w:sz w:val="24"/>
                <w:vertAlign w:val="baseline"/>
              </w:rPr>
              <w:t xml:space="preserve">Sch. 66 Surcharge </w:t>
            </w:r>
            <w:r>
              <w:rPr>
                <w:vertAlign w:val="baseline"/>
              </w:rPr>
            </w:r>
          </w:p>
          <w:p>
            <w:r>
              <w:rPr>
                <w:color w:val="000000"/>
                <w:rFonts w:ascii="Times New Roman  (TT)" w:hAnsi="Times New Roman  (TT)"/>
                <w:sz w:val="24"/>
                <w:vertAlign w:val="baseline"/>
              </w:rPr>
              <w:t xml:space="preserve">(expires 12/31/95)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Proposed</w:t>
            </w:r>
            <w:r>
              <w:rPr>
                <w:vertAlign w:val="baseline"/>
              </w:rPr>
            </w:r>
          </w:p>
          <w:p>
            <w:r>
              <w:rPr>
                <w:color w:val="000000"/>
                <w:rFonts w:ascii="Times New Roman  (TT)" w:hAnsi="Times New Roman  (TT)"/>
                <w:sz w:val="24"/>
                <w:vertAlign w:val="baseline"/>
              </w:rPr>
              <w:t xml:space="preserve">Sch. 66 Surcharge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1 (Residential)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.222¢/kWh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11 &amp; 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.180¢/kWh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.174¢/kWh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.354¢/kWh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21 &amp; 22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.117¢/kWh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.235¢/kWh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25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.068¢/kWh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.075¢/kWh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.143¢/kWh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31 &amp; 32 (pumping)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.152¢/kWh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.128¢/kWh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.281¢/kWh</w:t>
            </w:r>
            <w:r>
              <w:rPr>
                <w:vertAlign w:val="baseline"/>
              </w:rPr>
            </w:r>
          </w:p>
        </w:tc>
      </w:tr>
    </w:tbl>
    <w:p>
      <w:pPr/>
    </w:p>
    <w:p>
      <w:r>
        <w:rPr>
          <w:vertAlign w:val="baseline"/>
        </w:rPr>
      </w:r>
    </w:p>
    <w:p>
      <w:r>
        <w:rPr>
          <w:vertAlign w:val="baseline"/>
        </w:rPr>
      </w:r>
    </w:p>
    <w:p>
      <w:r>
        <w:rPr>
          <w:color w:val="000000"/>
          <w:rFonts w:ascii="Times New Roman  (TT)" w:hAnsi="Times New Roman  (TT)"/>
          <w:sz w:val="24"/>
          <w:vertAlign w:val="baseline"/>
        </w:rPr>
        <w:t xml:space="preserve">Flat rate charges for Company-owned or customer-owned street lighting and area lighting service are to be increased an additional 2.434% over the present 2.54% for an overall proposed Schedule 66 surcharge of 4.971%.  The effect of the surcharge on an average Schedule 1 residential customer using 1,071 kilowatt hours per month would be an increase of $1.19 per month for a total effective proposed Schedule 66 surcharge of $2.46 per month.</w:t>
      </w:r>
      <w:r>
        <w:rPr>
          <w:vertAlign w:val="baseline"/>
        </w:rPr>
      </w:r>
    </w:p>
    <w:p>
      <w:r>
        <w:rPr>
          <w:vertAlign w:val="baseline"/>
        </w:rPr>
      </w:r>
    </w:p>
    <w:p>
      <w:r>
        <w:rPr>
          <w:color w:val="000000"/>
          <w:rFonts w:ascii="Times New Roman  (TT)" w:hAnsi="Times New Roman  (TT)"/>
          <w:sz w:val="24"/>
          <w:vertAlign w:val="baseline"/>
        </w:rPr>
        <w:t xml:space="preserve">Notices of Application and Modified Procedure in Case No. WWP-E-95-4 were issued on July 24, 1995.  The deadline for filing written comments or protests was August 18, 1995.  Commission Staff was the only party to file comments (attached).  Staff recommends approval of the Company’s Application.  Based on its analysis, Staff concludes that the Company’s calculations and accounting entries are accurate and in compliance with prior Commission Orders.  Staff identifies Washington-sited projects included by Water Power in its PCA-PURPA Contracts, however, that have not obtained FERC QF status certification (reference 18 C.F.R. § 292.207—Procedures for obtaining qualifying status).  In response to Staff’s inquiry, the Company represents that all of the identified projects satisfy the FERC eligibility criteria for a qualifying facility (i.e., 18 C.F.R. §§ 292.203-.206).  </w:t>
      </w:r>
      <w:r>
        <w:rPr>
          <w:vertAlign w:val="baseline"/>
        </w:rPr>
      </w:r>
    </w:p>
    <w:p>
      <w:r>
        <w:rPr>
          <w:vertAlign w:val="baseline"/>
        </w:rPr>
      </w:r>
    </w:p>
    <w:p>
      <w:r>
        <w:rPr>
          <w:color w:val="000000"/>
          <w:rFonts w:ascii="Times New Roman  (TT)" w:hAnsi="Times New Roman  (TT)"/>
          <w:sz w:val="24"/>
          <w:vertAlign w:val="baseline"/>
        </w:rPr>
        <w:t xml:space="preserve">COMMISSION DECISION</w:t>
      </w:r>
      <w:r>
        <w:rPr>
          <w:vertAlign w:val="baseline"/>
        </w:rPr>
      </w:r>
    </w:p>
    <w:p>
      <w:r>
        <w:rPr>
          <w:color w:val="000000"/>
          <w:rFonts w:ascii="Times New Roman  (TT)" w:hAnsi="Times New Roman  (TT)"/>
          <w:sz w:val="24"/>
          <w:vertAlign w:val="baseline"/>
        </w:rPr>
        <w:t xml:space="preserve">●Does the Commission continue to find Modified Procedure to be appropriate in this Case?</w:t>
      </w:r>
      <w:r>
        <w:rPr>
          <w:vertAlign w:val="baseline"/>
        </w:rPr>
      </w:r>
    </w:p>
    <w:p>
      <w:r>
        <w:rPr>
          <w:color w:val="000000"/>
          <w:rFonts w:ascii="Times New Roman  (TT)" w:hAnsi="Times New Roman  (TT)"/>
          <w:sz w:val="24"/>
          <w:vertAlign w:val="baseline"/>
        </w:rPr>
        <w:t xml:space="preserve">●Should the proposed PCA surcharge be approved for effective date September 1, 1995?  </w:t>
      </w:r>
      <w:r>
        <w:rPr>
          <w:vertAlign w:val="baseline"/>
        </w:rPr>
      </w:r>
    </w:p>
    <w:p>
      <w:r>
        <w:rPr>
          <w:color w:val="000000"/>
          <w:rFonts w:ascii="Times New Roman  (TT)" w:hAnsi="Times New Roman  (TT)"/>
          <w:sz w:val="24"/>
          <w:vertAlign w:val="baseline"/>
        </w:rPr>
        <w:t xml:space="preserve">●Any comment RE: QF status certification as it relates to including the project contracts in the Company’s PCA filing?  Should the projects be required to self-certify?</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Scott D. Woodbury</w:t>
      </w:r>
      <w:r>
        <w:rPr>
          <w:vertAlign w:val="baseline"/>
        </w:rPr>
      </w:r>
    </w:p>
    <w:p>
      <w:r>
        <w:rPr>
          <w:vertAlign w:val="baseline"/>
        </w:rPr>
      </w:r>
    </w:p>
    <w:p>
      <w:r>
        <w:rPr>
          <w:color w:val="000000"/>
          <w:rFonts w:ascii="Times New Roman  (TT)" w:hAnsi="Times New Roman  (TT)"/>
          <w:sz w:val="24"/>
          <w:vertAlign w:val="baseline"/>
        </w:rPr>
        <w:t xml:space="preserve">JR\M-WWP-E-95-4.SW2</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  As proposed by the Company, the increase will not affect recently acquired customers in the Sandpoint area.  The Company began serving those customers on January 1, 1995.  At that time, the balance in the PCA deferral account was $1,360,000 of the $2,258,000 surcharge proposed in this filing.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