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KATHY STOCKTON</w:t>
      </w:r>
      <w:r>
        <w:rPr/>
      </w:r>
    </w:p>
    <w:p>
      <w:r>
        <w:rPr>
          <w:color w:val="000000"/>
          <w:rFonts w:ascii="Times New Roman" w:hAnsi="Times New Roman"/>
          <w:sz w:val="24"/>
        </w:rPr>
        <w:t xml:space="preserve">MARGE MAXWELL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DATE:JANUARY 29,1999</w:t>
      </w:r>
      <w:r>
        <w:rPr/>
      </w:r>
    </w:p>
    <w:p>
      <w:r>
        <w:rPr/>
      </w:r>
    </w:p>
    <w:p>
      <w:r>
        <w:rPr>
          <w:color w:val="000000"/>
          <w:rFonts w:ascii="Times New Roman" w:hAnsi="Times New Roman"/>
          <w:sz w:val="24"/>
        </w:rPr>
        <w:t xml:space="preserve">RE:CASE NO. WWP-E-98-11 (AVISTA)</w:t>
      </w:r>
      <w:r>
        <w:rPr/>
      </w:r>
    </w:p>
    <w:p>
      <w:r>
        <w:rPr>
          <w:color w:val="000000"/>
          <w:rFonts w:ascii="Times New Roman" w:hAnsi="Times New Roman"/>
          <w:sz w:val="24"/>
        </w:rPr>
        <w:t xml:space="preserve">RATE CASE—SCHEDULING</w:t>
      </w:r>
      <w:r>
        <w:rPr/>
      </w:r>
    </w:p>
    <w:p>
      <w:r>
        <w:rPr/>
      </w:r>
    </w:p>
    <w:p>
      <w:r>
        <w:rPr/>
      </w:r>
    </w:p>
    <w:p>
      <w:r>
        <w:rPr>
          <w:color w:val="000000"/>
          <w:rFonts w:ascii="Times New Roman" w:hAnsi="Times New Roman"/>
          <w:sz w:val="24"/>
        </w:rPr>
        <w:t xml:space="preserve">The January 22, 1999, deadline for intervention in Case No. WWP-E-98-11 has passed.  Potlatch is the only intervenor.  The Commission is apprised that Staff finds no need for a bifurcation of this case into revenue requirement/cost of service &amp; rate design phases.  Accordingly, unless the Commission has identified issues that it wants to address and that have not been touched on by the Company in its direct testimony, Staff suggests that there is no need for a prehearing conference in this case.</w:t>
      </w:r>
      <w:r>
        <w:rPr/>
      </w:r>
    </w:p>
    <w:p>
      <w:r>
        <w:rPr>
          <w:color w:val="000000"/>
          <w:rFonts w:ascii="Times New Roman" w:hAnsi="Times New Roman"/>
          <w:sz w:val="24"/>
        </w:rPr>
        <w:t xml:space="preserve">The Company and Staff have agreed to the following scheduling:</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Direct testimony prefile—staff/intervenor</w:t>
            </w:r>
            <w:r>
              <w:rPr/>
            </w:r>
          </w:p>
          <w:p>
            <w:r>
              <w:rPr/>
            </w:r>
          </w:p>
          <w:p>
            <w:r>
              <w:rPr>
                <w:color w:val="000000"/>
                <w:rFonts w:ascii="Times New Roman" w:hAnsi="Times New Roman"/>
                <w:sz w:val="24"/>
              </w:rPr>
              <w:t xml:space="preserve">Rebuttal testimony prefile</w:t>
            </w:r>
            <w:r>
              <w:rPr/>
            </w:r>
          </w:p>
          <w:p>
            <w:r>
              <w:rPr/>
            </w:r>
          </w:p>
          <w:p>
            <w:r>
              <w:rPr>
                <w:color w:val="000000"/>
                <w:rFonts w:ascii="Times New Roman" w:hAnsi="Times New Roman"/>
                <w:sz w:val="24"/>
              </w:rPr>
              <w:t xml:space="preserve">Hearing—Sandpoint</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April 23, 1999</w:t>
            </w:r>
            <w:r>
              <w:rPr/>
            </w:r>
          </w:p>
          <w:p>
            <w:r>
              <w:rPr/>
            </w:r>
          </w:p>
          <w:p>
            <w:r>
              <w:rPr>
                <w:color w:val="000000"/>
                <w:rFonts w:ascii="Times New Roman" w:hAnsi="Times New Roman"/>
                <w:sz w:val="24"/>
              </w:rPr>
              <w:t xml:space="preserve">May 21, 1999</w:t>
            </w:r>
            <w:r>
              <w:rPr/>
            </w:r>
          </w:p>
          <w:p>
            <w:r>
              <w:rPr/>
            </w:r>
          </w:p>
          <w:p>
            <w:r>
              <w:rPr>
                <w:color w:val="000000"/>
                <w:rFonts w:ascii="Times New Roman" w:hAnsi="Times New Roman"/>
                <w:sz w:val="24"/>
              </w:rPr>
              <w:t xml:space="preserve">June 8-9-10, 1999</w:t>
            </w:r>
            <w:r>
              <w:rPr/>
            </w:r>
          </w:p>
        </w:tc>
      </w:tr>
    </w:tbl>
    <w:p>
      <w:pPr/>
    </w:p>
    <w:p>
      <w:r>
        <w:rPr/>
      </w:r>
    </w:p>
    <w:p>
      <w:r>
        <w:rPr>
          <w:color w:val="000000"/>
          <w:rFonts w:ascii="Times New Roman" w:hAnsi="Times New Roman"/>
          <w:sz w:val="24"/>
        </w:rPr>
        <w:t xml:space="preserve">Does the Commission find the scheduling acceptable?  If not, 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vld/M:WWP-E-98-11.sw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