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REVISE ELECTRIC TARIFF SCHEDULE 66— TEMPORARY POWER COST ADJUSTMENT— IDAHO AND TO IMPLEMENT A RELATED REBATE.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15, 1998, The Washington Water Power Company (now Avista Corporation dba Avista Utilities—Washington Water Power Division; Company) in Case No. WWP-E-98-12 filed an Application with the Idaho Public Utilities Commission (Commission) proposing a revision to the Company’s electric tariff Schedule 66—temporary Power Cost Adjustment—Idaho.  On January 12, 1999, the Company filed a substitute tariff Schedule 66 Sheet eliminating Sandpoint schedules,  More Options for Power Service (MOPS) schedules and Direct Access Delivery Service (DADS) schedules and adding MOPS II schedules.  </w:t>
      </w:r>
      <w:r>
        <w:rPr>
          <w:vertAlign w:val="baseline"/>
        </w:rPr>
      </w:r>
    </w:p>
    <w:p>
      <w:r>
        <w:rPr>
          <w:color w:val="000000"/>
          <w:rFonts w:ascii="Times New Roman" w:hAnsi="Times New Roman"/>
          <w:sz w:val="24"/>
          <w:vertAlign w:val="baseline"/>
        </w:rPr>
        <w:t xml:space="preserve">Avista requests that the Commission approve a $3,093,000, 2.66% rebate to Avista’s Idaho customers.  The rebate is being requested as a result of the “trigger” being reached and exceeded in Avista’s Power Cost Adjustment (PCA) balancing account.  The Company’s PCA mechanism was first established in Case No. WWP-E-88-3, Order No. 22816 issued October 31, 1989, and has been expanded, modified and clarified in a number of subsequent cases (WWP-E-93-3, Order No. 24874; WWP-E-94-4, Order No. 25637; WWP-E-97-10, Order No. 27202; and WWP-E-98-4, Order No. 27824).  Since its inception to date of filing, there have been seven rebates totaling $17,678,000 and three surcharges totaling $6,769,000.  The PCA-related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Avista’s PCA is used to track changes in revenues and costs associated with variations in hydroelectric generation, prices in the secondary market, and changes in power contract revenues and expenses.  The PCA rate adjustment mechanism is designed to recover/rebate variances in power supply expenses incurred by the Company.  The PCA mechanism tracks changes in the Company’s power supply costs associated with abnormal weather and stream flows.  The weather-related portion of the PCA tracks 100% of the variation in hydro generation from the hydro generation authorized,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Avista.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As reflected in the Company’s Application, the $2.2 million trigger was reached and exceeded in August 1998, based on actual data from the preceding month, July.  In Case No. WWP-E-98-10 the Company filed a request to suspend the required filing of a revised PCA tariff until the Commission made its decision in Case No. WWP-E-98-4 to modify or terminate the PCA.  On October 19, 1998, the Commission issued Order No. 27775 approving the Company’s request to suspend the $3,093,000 rebate.  On December 4, 1998, the Commission issued Order No. 27824 in Case No. WWP-E-98-4 modifying the PCA and directing the Company to file the rebate application within 30 days. </w:t>
      </w:r>
      <w:r>
        <w:rPr>
          <w:vertAlign w:val="baseline"/>
        </w:rPr>
      </w:r>
    </w:p>
    <w:p>
      <w:r>
        <w:rPr>
          <w:color w:val="000000"/>
          <w:rFonts w:ascii="Times New Roman" w:hAnsi="Times New Roman"/>
          <w:sz w:val="24"/>
          <w:vertAlign w:val="baseline"/>
        </w:rPr>
        <w:t xml:space="preserve">Under the Company’s proposal in this case, the monthly energy charges of the individual electric rate schedules are to be decreased by the following amounts: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Type of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Present</w:t>
            </w:r>
            <w:r>
              <w:rPr>
                <w:vertAlign w:val="baseline"/>
              </w:rPr>
            </w:r>
          </w:p>
          <w:p>
            <w:r>
              <w:rPr>
                <w:color w:val="000000"/>
                <w:rFonts w:ascii="Times New Roman" w:hAnsi="Times New Roman"/>
                <w:sz w:val="24"/>
                <w:vertAlign w:val="baseline"/>
              </w:rPr>
              <w:t xml:space="preserve">Sch 66 Rebate</w:t>
            </w:r>
            <w:r>
              <w:rPr>
                <w:vertAlign w:val="baseline"/>
              </w:rPr>
            </w:r>
          </w:p>
          <w:p>
            <w:r>
              <w:rPr>
                <w:color w:val="000000"/>
                <w:rFonts w:ascii="Times New Roman" w:hAnsi="Times New Roman"/>
                <w:sz w:val="24"/>
                <w:vertAlign w:val="baseline"/>
              </w:rPr>
              <w:t xml:space="preserve">Effective 6/1/98; Expires 5/31/99</w:t>
            </w:r>
            <w:r>
              <w:rPr>
                <w:vertAlign w:val="baseline"/>
              </w:rPr>
            </w:r>
          </w:p>
          <w:p>
            <w:r>
              <w:rPr>
                <w:color w:val="000000"/>
                <w:rFonts w:ascii="Times New Roman" w:hAnsi="Times New Roman"/>
                <w:sz w:val="24"/>
                <w:vertAlign w:val="baseline"/>
              </w:rPr>
              <w:t xml:space="preserve">(2.727%)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Proposed</w:t>
            </w:r>
            <w:r>
              <w:rPr>
                <w:vertAlign w:val="baseline"/>
              </w:rPr>
            </w:r>
          </w:p>
          <w:p>
            <w:r>
              <w:rPr>
                <w:color w:val="000000"/>
                <w:rFonts w:ascii="Times New Roman" w:hAnsi="Times New Roman"/>
                <w:sz w:val="24"/>
                <w:vertAlign w:val="baseline"/>
              </w:rPr>
              <w:t xml:space="preserve">Sch 66 Rebate</w:t>
            </w:r>
            <w:r>
              <w:rPr>
                <w:vertAlign w:val="baseline"/>
              </w:rPr>
            </w:r>
          </w:p>
          <w:p>
            <w:r>
              <w:rPr>
                <w:color w:val="000000"/>
                <w:rFonts w:ascii="Times New Roman" w:hAnsi="Times New Roman"/>
                <w:sz w:val="24"/>
                <w:vertAlign w:val="baseline"/>
              </w:rPr>
              <w:t xml:space="preserve">(2.660%)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 3A-D &amp; 15</w:t>
            </w:r>
            <w:r>
              <w:rPr>
                <w:vertAlign w:val="baseline"/>
              </w:rPr>
            </w:r>
          </w:p>
          <w:p>
            <w:r>
              <w:rPr>
                <w:color w:val="000000"/>
                <w:rFonts w:ascii="Times New Roman" w:hAnsi="Times New Roman"/>
                <w:sz w:val="24"/>
                <w:vertAlign w:val="baseline"/>
              </w:rPr>
              <w:t xml:space="preserve">(Residential)</w:t>
            </w:r>
            <w:r>
              <w:rPr>
                <w:vertAlign w:val="baseline"/>
              </w:rPr>
            </w:r>
          </w:p>
          <w:p>
            <w:r>
              <w:rPr>
                <w:vertAlign w:val="baseline"/>
              </w:rPr>
            </w:r>
          </w:p>
          <w:p>
            <w:r>
              <w:rPr>
                <w:color w:val="000000"/>
                <w:rFonts w:ascii="Times New Roman" w:hAnsi="Times New Roman"/>
                <w:sz w:val="24"/>
                <w:vertAlign w:val="baseline"/>
              </w:rPr>
              <w:t xml:space="preserve">Schedules 11, 12, 13A-D &amp; 16</w:t>
            </w:r>
            <w:r>
              <w:rPr>
                <w:vertAlign w:val="baseline"/>
              </w:rPr>
            </w:r>
          </w:p>
          <w:p>
            <w:r>
              <w:rPr>
                <w:color w:val="000000"/>
                <w:rFonts w:ascii="Times New Roman" w:hAnsi="Times New Roman"/>
                <w:sz w:val="24"/>
                <w:vertAlign w:val="baseline"/>
              </w:rPr>
              <w:t xml:space="preserve">(General)</w:t>
            </w:r>
            <w:r>
              <w:rPr>
                <w:vertAlign w:val="baseline"/>
              </w:rPr>
            </w:r>
          </w:p>
          <w:p>
            <w:r>
              <w:rPr>
                <w:vertAlign w:val="baseline"/>
              </w:rPr>
            </w:r>
          </w:p>
          <w:p>
            <w:r>
              <w:rPr>
                <w:color w:val="000000"/>
                <w:rFonts w:ascii="Times New Roman" w:hAnsi="Times New Roman"/>
                <w:sz w:val="24"/>
                <w:vertAlign w:val="baseline"/>
              </w:rPr>
              <w:t xml:space="preserve">Schedules 17, 21, 22, &amp; </w:t>
            </w:r>
            <w:r>
              <w:rPr>
                <w:vertAlign w:val="baseline"/>
              </w:rPr>
            </w:r>
          </w:p>
          <w:p>
            <w:r>
              <w:rPr>
                <w:color w:val="000000"/>
                <w:rFonts w:ascii="Times New Roman" w:hAnsi="Times New Roman"/>
                <w:sz w:val="24"/>
                <w:vertAlign w:val="baseline"/>
              </w:rPr>
              <w:t xml:space="preserve">23 A-D</w:t>
            </w:r>
            <w:r>
              <w:rPr>
                <w:vertAlign w:val="baseline"/>
              </w:rPr>
            </w:r>
          </w:p>
          <w:p>
            <w:r>
              <w:rPr>
                <w:color w:val="000000"/>
                <w:rFonts w:ascii="Times New Roman" w:hAnsi="Times New Roman"/>
                <w:sz w:val="24"/>
                <w:vertAlign w:val="baseline"/>
              </w:rPr>
              <w:t xml:space="preserve">(Large General)</w:t>
            </w:r>
            <w:r>
              <w:rPr>
                <w:vertAlign w:val="baseline"/>
              </w:rPr>
            </w:r>
          </w:p>
          <w:p>
            <w:r>
              <w:rPr>
                <w:vertAlign w:val="baseline"/>
              </w:rPr>
            </w:r>
          </w:p>
          <w:p>
            <w:r>
              <w:rPr>
                <w:color w:val="000000"/>
                <w:rFonts w:ascii="Times New Roman" w:hAnsi="Times New Roman"/>
                <w:sz w:val="24"/>
                <w:vertAlign w:val="baseline"/>
              </w:rPr>
              <w:t xml:space="preserve">Schedule 25</w:t>
            </w:r>
            <w:r>
              <w:rPr>
                <w:vertAlign w:val="baseline"/>
              </w:rPr>
            </w:r>
          </w:p>
          <w:p>
            <w:r>
              <w:rPr>
                <w:color w:val="000000"/>
                <w:rFonts w:ascii="Times New Roman" w:hAnsi="Times New Roman"/>
                <w:sz w:val="24"/>
                <w:vertAlign w:val="baseline"/>
              </w:rPr>
              <w:t xml:space="preserve">(Extra Large General)</w:t>
            </w:r>
            <w:r>
              <w:rPr>
                <w:vertAlign w:val="baseline"/>
              </w:rPr>
            </w:r>
          </w:p>
          <w:p>
            <w:r>
              <w:rPr>
                <w:vertAlign w:val="baseline"/>
              </w:rPr>
            </w:r>
          </w:p>
          <w:p>
            <w:r>
              <w:rPr>
                <w:color w:val="000000"/>
                <w:rFonts w:ascii="Times New Roman" w:hAnsi="Times New Roman"/>
                <w:sz w:val="24"/>
                <w:vertAlign w:val="baseline"/>
              </w:rPr>
              <w:t xml:space="preserve">Schedules 18, 31, 32, &amp; </w:t>
            </w:r>
            <w:r>
              <w:rPr>
                <w:vertAlign w:val="baseline"/>
              </w:rPr>
            </w:r>
          </w:p>
          <w:p>
            <w:r>
              <w:rPr>
                <w:color w:val="000000"/>
                <w:rFonts w:ascii="Times New Roman" w:hAnsi="Times New Roman"/>
                <w:sz w:val="24"/>
                <w:vertAlign w:val="baseline"/>
              </w:rPr>
              <w:t xml:space="preserve">33 A-D</w:t>
            </w:r>
            <w:r>
              <w:rPr>
                <w:vertAlign w:val="baseline"/>
              </w:rPr>
            </w:r>
          </w:p>
          <w:p>
            <w:r>
              <w:rPr>
                <w:color w:val="000000"/>
                <w:rFonts w:ascii="Times New Roman" w:hAnsi="Times New Roman"/>
                <w:sz w:val="24"/>
                <w:vertAlign w:val="baseline"/>
              </w:rPr>
              <w:t xml:space="preserve">(Pumping)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0.114¢/kWh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0.164¢/kWh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0.112¢/kWh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0.073¢/kWh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0.134¢/kWh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0.127¢/kWh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0.189¢/kWh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0.132¢/kWh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0.082¢/kWh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0.135¢/kWh</w:t>
            </w:r>
            <w:r>
              <w:rPr>
                <w:vertAlign w:val="baseline"/>
              </w:rPr>
            </w:r>
          </w:p>
        </w:tc>
      </w:tr>
    </w:tbl>
    <w:p>
      <w:pP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41-49) under the present rebate are reduced by 2.427% and under the proposed rebate will be reduced by a further 2.660%.  Implementation of the proposed rebate will result in an overall decrease of 2.660% in the Company’s Idaho electric rates or $1.27 in the monthly bill of an average residential customer using 1,000 kWh.  The combined effect of both the existing and proposed rebates is an overall decrease of 5.387%, or $2.41 in the monthly bill of an average residential customer using 1,000 kWh.  The existing rebate, however, will expire on May 31, 1999.</w:t>
      </w:r>
      <w:r>
        <w:rPr>
          <w:vertAlign w:val="baseline"/>
        </w:rPr>
      </w:r>
    </w:p>
    <w:p>
      <w:r>
        <w:rPr>
          <w:color w:val="000000"/>
          <w:rFonts w:ascii="Times New Roman" w:hAnsi="Times New Roman"/>
          <w:sz w:val="24"/>
          <w:vertAlign w:val="baseline"/>
        </w:rPr>
        <w:t xml:space="preserve">Avista has requested that its rebate be effective February 1, 1999 and expire January 31, 2000.  The Company, as part of its Application, has filed supporting testimony and exhibits.</w:t>
      </w:r>
      <w:r>
        <w:rPr>
          <w:vertAlign w:val="baseline"/>
        </w:rPr>
      </w:r>
    </w:p>
    <w:p>
      <w:r>
        <w:rPr>
          <w:color w:val="000000"/>
          <w:rFonts w:ascii="Times New Roman" w:hAnsi="Times New Roman"/>
          <w:sz w:val="24"/>
          <w:vertAlign w:val="baseline"/>
        </w:rPr>
        <w:t xml:space="preserve">On December 22, 1998, the Commission issued Notices of Application and Modified Procedure in Case No. WWP-E-98-12.  The deadline for filing written comments was January 15, 1999.  The Commission Staff was the only party to file comments.  Staff recommends approval of the Company’s Application as revised on January 12, 1999.  Staff concurs with the proposed effective date of February 1, 1999.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and proposed tariff, as filed and subsequently revised to include substitute Schedule 66.  The Commission has also considered Staff’s analysis and recommendation in this matter.  The Commission continues to find that the issues presented are suitable for processing under Modified Procedure, i.e., by written submission rather than by hearing.  Reference IDAPA 31.01.01.204.  The Commission finds the Company’s proposed PCA rebate and revisions to tariff Schedule 66 to be reasonable.  The Commission also finds the proposed February 1, 1999, implementation date to be reasonable.</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Avista Corp­ora­tion dba Avista Utilities—Washington Water Power Division (formerly The Washing­ton Water Power Company), an electric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Avista Corporation dba Avista Utilities—Washington Water Power Division (formerly The Washing­ton Water Power Company) for authority to imple­ment a $3,093,000, 2.66% rebate to refund amounts accumulated in its Power Cost Adjustment (PCA) balancing account through proposed amended tariff Schedule 66—temporary power cost adjustment—Idaho be approved effective February 1, 1999 and to expire January 31, 2000.</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vld/O:WWP-E-98-12.sw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29,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