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DATE:APRIL 27, 1995</w:t>
      </w:r>
      <w:r>
        <w:rPr/>
      </w:r>
    </w:p>
    <w:p>
      <w:r>
        <w:rPr/>
      </w:r>
    </w:p>
    <w:p>
      <w:r>
        <w:rPr>
          <w:color w:val="000000"/>
          <w:rFonts w:ascii="Times New Roman  (TT)" w:hAnsi="Times New Roman  (TT)"/>
          <w:sz w:val="24"/>
        </w:rPr>
        <w:t xml:space="preserve">RE:CASE NO. INT-G-95-1</w:t>
      </w:r>
      <w:r>
        <w:rPr/>
      </w:r>
    </w:p>
    <w:p>
      <w:r>
        <w:rPr>
          <w:color w:val="000000"/>
          <w:rFonts w:ascii="Times New Roman  (TT)" w:hAnsi="Times New Roman  (TT)"/>
          <w:sz w:val="24"/>
        </w:rPr>
        <w:t xml:space="preserve">PGA TARIFF—PROPOSED LANGUAGE CHANGES</w:t>
      </w:r>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requesting authority to update and change its Purchased Gas Cost Adjustment (PGA) tariff language.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  The Company’s filing responds in part to Commission and Staff concerns addressed in the Company’s last PGA case, Case No. INT-G-94-3, Order No. 25597 (attached).  The PGA mechanism is used by IGC to adjust rates to reflect changes in the cost of gas purchased from Northwest Pipeline and other suppliers, including transportation costs, gathering charges, etc., associated with such gas.  The current PGA tariff methodology was approved in Order No. 22058, Case No. INT-G-88-2.  The methodology authorizes the use of historic case volumes and allocations when computing price changes.  The Company contends that a regular update to these volumes and allocators will more accurately capture its cost to serve each customer class, thereby helping to mitigate the magnitude for any future pass-back or recovery of demand charges.</w:t>
      </w:r>
      <w:r>
        <w:rPr/>
      </w:r>
    </w:p>
    <w:p>
      <w:r>
        <w:rPr>
          <w:color w:val="000000"/>
          <w:rFonts w:ascii="Times New Roman  (TT)" w:hAnsi="Times New Roman  (TT)"/>
          <w:sz w:val="24"/>
        </w:rPr>
        <w:t xml:space="preserve">The proposed changes to the PGA tariff include provisions which allow for </w:t>
      </w:r>
      <w:r>
        <w:rPr/>
      </w:r>
    </w:p>
    <w:p>
      <w:r>
        <w:rPr>
          <w:color w:val="000000"/>
          <w:rFonts w:ascii="Times New Roman  (TT)" w:hAnsi="Times New Roman  (TT)"/>
          <w:sz w:val="24"/>
        </w:rPr>
        <w:t xml:space="preserve">1.an annual update to the sales volumes used to calculate proposed price changes,</w:t>
      </w:r>
      <w:r>
        <w:rPr/>
      </w:r>
    </w:p>
    <w:p>
      <w:r>
        <w:rPr>
          <w:color w:val="000000"/>
          <w:rFonts w:ascii="Times New Roman  (TT)" w:hAnsi="Times New Roman  (TT)"/>
          <w:sz w:val="24"/>
        </w:rPr>
        <w:t xml:space="preserve">2.updating the demand cost determinants in place to serve the updated sales volumes</w:t>
      </w:r>
      <w:r>
        <w:rPr/>
      </w:r>
    </w:p>
    <w:p>
      <w:r>
        <w:rPr>
          <w:color w:val="000000"/>
          <w:rFonts w:ascii="Times New Roman  (TT)" w:hAnsi="Times New Roman  (TT)"/>
          <w:sz w:val="24"/>
        </w:rPr>
        <w:t xml:space="preserve">3.updated demand cost allocations and </w:t>
      </w:r>
      <w:r>
        <w:rPr/>
      </w:r>
    </w:p>
    <w:p>
      <w:r>
        <w:rPr>
          <w:color w:val="000000"/>
          <w:rFonts w:ascii="Times New Roman  (TT)" w:hAnsi="Times New Roman  (TT)"/>
          <w:sz w:val="24"/>
        </w:rPr>
        <w:t xml:space="preserve">4.a provision to defer demand charge over or under collections for subsequent pass-back or collection.</w:t>
      </w:r>
      <w:r>
        <w:rPr/>
      </w:r>
    </w:p>
    <w:p>
      <w:r>
        <w:rPr>
          <w:color w:val="000000"/>
          <w:rFonts w:ascii="Times New Roman  (TT)" w:hAnsi="Times New Roman  (TT)"/>
          <w:sz w:val="24"/>
        </w:rPr>
        <w:t xml:space="preserve">The Application states that the purpose of the proposed tariff changes is to update the established mechanism to pass through or defer future price adjustments.  There will be no revenue impact resulting from the proposed tariff update until such time that the provisions are employed for the purpose of modifying current rates, generally July 1 of each year.</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201-204 of the Commission’s Rules of Procedure.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Company’s Application to be appropriate for Modified Procedure?</w:t>
      </w:r>
      <w:r>
        <w:rPr/>
      </w:r>
    </w:p>
    <w:p>
      <w:r>
        <w:rPr>
          <w:color w:val="000000"/>
          <w:rFonts w:ascii="Times New Roman  (TT)" w:hAnsi="Times New Roman  (TT)"/>
          <w:sz w:val="24"/>
        </w:rPr>
        <w:t xml:space="preserve">If not, how does the Commission wish to proceed?</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vld/M-INT-G-95-1.sw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