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OF)CASE NO. INT-G-95-2</w:t>
      </w:r>
      <w:r>
        <w:rPr/>
      </w:r>
    </w:p>
    <w:p>
      <w:r>
        <w:rPr>
          <w:color w:val="000000"/>
          <w:rFonts w:ascii="Times New Roman  (TT)" w:hAnsi="Times New Roman  (TT)"/>
          <w:sz w:val="24"/>
        </w:rPr>
        <w:t xml:space="preserve">INTERMOUNTAIN GAS COMPANY FOR )</w:t>
      </w:r>
      <w:r>
        <w:rPr/>
      </w:r>
    </w:p>
    <w:p>
      <w:r>
        <w:rPr>
          <w:color w:val="000000"/>
          <w:rFonts w:ascii="Times New Roman  (TT)" w:hAnsi="Times New Roman  (TT)"/>
          <w:sz w:val="24"/>
        </w:rPr>
        <w:t xml:space="preserve">AUTHORITY TO DEFER NORTHWEST)NOTICE OF APPLICATION </w:t>
      </w:r>
      <w:r>
        <w:rPr/>
      </w:r>
    </w:p>
    <w:p>
      <w:r>
        <w:rPr>
          <w:color w:val="000000"/>
          <w:rFonts w:ascii="Times New Roman  (TT)" w:hAnsi="Times New Roman  (TT)"/>
          <w:sz w:val="24"/>
        </w:rPr>
        <w:t xml:space="preserve">PIPELINE CORPORATION’S SYSTEM )NOTICE OF MODIFIED </w:t>
      </w:r>
      <w:r>
        <w:rPr/>
      </w:r>
    </w:p>
    <w:p>
      <w:r>
        <w:rPr>
          <w:color w:val="000000"/>
          <w:rFonts w:ascii="Times New Roman  (TT)" w:hAnsi="Times New Roman  (TT)"/>
          <w:sz w:val="24"/>
        </w:rPr>
        <w:t xml:space="preserve">EXPANSION II TERMINATION COSTS AND)      PROCEDURE</w:t>
      </w:r>
      <w:r>
        <w:rPr/>
      </w:r>
    </w:p>
    <w:p>
      <w:r>
        <w:rPr>
          <w:color w:val="000000"/>
          <w:rFonts w:ascii="Times New Roman  (TT)" w:hAnsi="Times New Roman  (TT)"/>
          <w:sz w:val="24"/>
        </w:rPr>
        <w:t xml:space="preserve">DEMAND CHARGE CREDITS)NOTICE OF COMMENT/</w:t>
      </w:r>
      <w:r>
        <w:rPr/>
      </w:r>
    </w:p>
    <w:p>
      <w:r>
        <w:rPr>
          <w:color w:val="000000"/>
          <w:rFonts w:ascii="Times New Roman  (TT)" w:hAnsi="Times New Roman  (TT)"/>
          <w:sz w:val="24"/>
        </w:rPr>
        <w:t xml:space="preserve">                                                                    </w:t>
      </w:r>
      <w:r>
        <w:rPr>
          <w:color w:val="000000"/>
          <w:rFonts w:ascii="Times New Roman  (TT)" w:hAnsi="Times New Roman  (TT)"/>
          <w:sz w:val="24"/>
        </w:rPr>
        <w:t xml:space="preserve">)  PROTEST DEADLINE</w:t>
      </w:r>
      <w:r>
        <w:rPr/>
      </w:r>
    </w:p>
    <w:p>
      <w:r>
        <w:rPr/>
      </w:r>
    </w:p>
    <w:p>
      <w:r>
        <w:rPr/>
      </w:r>
    </w:p>
    <w:p>
      <w:r>
        <w:rPr/>
      </w:r>
    </w:p>
    <w:p>
      <w:r>
        <w:rPr/>
      </w:r>
    </w:p>
    <w:p>
      <w:r>
        <w:rPr>
          <w:color w:val="000000"/>
          <w:rFonts w:ascii="Times New Roman  (TT)" w:hAnsi="Times New Roman  (TT)"/>
          <w:sz w:val="24"/>
        </w:rPr>
        <w:t xml:space="preserve">YOU ARE HEREBY NOTIFIED that on April 14, 1995, Intermountain Gas Company (IGC; Company) filed an Application with the Idaho Public Utilities Commission (Commission) for authority to defer Northwest Pipeline Corporation (NWP) system Expansion II termination costs and demand charge credits.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w:t>
      </w:r>
      <w:r>
        <w:rPr/>
      </w:r>
    </w:p>
    <w:p>
      <w:r>
        <w:rPr>
          <w:color w:val="000000"/>
          <w:rFonts w:ascii="Times New Roman  (TT)" w:hAnsi="Times New Roman  (TT)"/>
          <w:sz w:val="24"/>
        </w:rPr>
        <w:t xml:space="preserve">By way of background, in January 1993 IGC by contract elected to participate in a proposed expansion of the NWP system (Expansion II).  Because FERC had not determined whether Expansion II costs would be billed on a “rolled in” or “incremental” basis, subscribing participants were given until April 1994 to exercise a one time option to terminate their participation.  Those electing to cancel participation would nevertheless remain responsible to NWP for payment of their allocable portion of costs incurred prior to the actual construction of the expansion, i.e., environmental impact study costs, expansion design costs, etc.  As of March 1994, however, FERC had still not made a preliminary determination on the rate treatment for Expansion II.  Despite the lack of guidance from FERC, NWP agreed that participants could still elect to terminate participation. </w:t>
      </w:r>
      <w:r>
        <w:rPr/>
      </w:r>
    </w:p>
    <w:p>
      <w:r>
        <w:rPr>
          <w:color w:val="000000"/>
          <w:rFonts w:ascii="Times New Roman  (TT)" w:hAnsi="Times New Roman  (TT)"/>
          <w:sz w:val="24"/>
        </w:rPr>
        <w:t xml:space="preserve">With the enactment of FERC Order 636 in November of 1993, IGC states that other options to procure added firm capacity on NWP’s system became available to the Company without the risk of incremental pricing.  In March 1994 IGC elected to cancel its participation in Expansion II and began the process of replacing its firm capacity election through other means.  In January 1995 the Company was notified by NWP that its allocable share of the Expansion II termination costs was $3,109,292 plus interest.</w:t>
      </w:r>
      <w:r>
        <w:rPr/>
      </w:r>
    </w:p>
    <w:p>
      <w:r>
        <w:rPr>
          <w:color w:val="000000"/>
          <w:rFonts w:ascii="Times New Roman  (TT)" w:hAnsi="Times New Roman  (TT)"/>
          <w:sz w:val="24"/>
        </w:rPr>
        <w:t xml:space="preserve">IGC states that it has been able to obtain contracts for incremental firm capacity, at the lower cost, rolled-in basis.  The Company has also been able to obtain certain discounts from releasing shippers which will accrue, on an annual basis, savings of approximately $2,131,000 to the Company’s customers.</w:t>
      </w:r>
      <w:r>
        <w:rPr/>
      </w:r>
    </w:p>
    <w:p>
      <w:r>
        <w:rPr>
          <w:color w:val="000000"/>
          <w:rFonts w:ascii="Times New Roman  (TT)" w:hAnsi="Times New Roman  (TT)"/>
          <w:sz w:val="24"/>
        </w:rPr>
        <w:t xml:space="preserve">In an attempt to preserve the stability of natural gas prices to its customers, the Company in its Application requests the authority to defer, in Account 186-150, its allocable share of the NWP Expansion II termination costs, plus interest, and amortize against this expense, the benefits accrued from the discounted capacity.  The requested deferrals the Company states will continue until such time as the deferred capacity cost benefits equal or offset the deferred Expansion II costs, such period lasting until approximately the fall of 1997.  After the estimated “cross-over” period during the fall of 1997, IGC states that it will propose to enact a permanent price reduction to its customers reflecting the future impact of the discounted firm capacity.  </w:t>
      </w:r>
      <w:r>
        <w:rPr/>
      </w:r>
    </w:p>
    <w:p>
      <w:r>
        <w:rPr>
          <w:color w:val="000000"/>
          <w:rFonts w:ascii="Times New Roman  (TT)" w:hAnsi="Times New Roman  (TT)"/>
          <w:sz w:val="24"/>
        </w:rPr>
        <w:t xml:space="preserve">The Company in its Application states that there will be no revenue impact resulting from the proposed accounting treatment until such time that the deferred capacity cost credits equal the deferred Expansion II costs.  At such time, the capacity cost credits will serve to reduce the Company’s prices and revenues from its customers.</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 through 204 of the Commission’s Rules of Procedure.</w:t>
      </w:r>
      <w:r>
        <w:rPr/>
      </w:r>
    </w:p>
    <w:p>
      <w:r>
        <w:rPr>
          <w:color w:val="000000"/>
          <w:rFonts w:ascii="Times New Roman  (TT)" w:hAnsi="Times New Roman  (TT)"/>
          <w:sz w:val="24"/>
        </w:rPr>
        <w:t xml:space="preserve">The Company’s filing in this docket is available for public inspection during regular business hours at the Commission office and at the offices of the Intermountain Gas Company.</w:t>
      </w:r>
      <w:r>
        <w:rPr/>
      </w:r>
    </w:p>
    <w:p>
      <w:r>
        <w:rPr>
          <w:color w:val="000000"/>
          <w:rFonts w:ascii="Times New Roman  (TT)" w:hAnsi="Times New Roman  (TT)"/>
          <w:sz w:val="24"/>
        </w:rPr>
        <w:t xml:space="preserve">YOU ARE FURTHER NOTIFIED that the Commission has reviewed the filings of record in Case No. INT-G-95-2.  The Commission has preliminarily determined that the public interest may not require a hearing to consider the issues presented and that the issues raised by the Company’s filing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w:t>
      </w:r>
      <w:r>
        <w:rPr>
          <w:color w:val="000000"/>
          <w:rFonts w:ascii="Times New Roman  (TT)" w:hAnsi="Times New Roman  (TT)"/>
          <w:sz w:val="24"/>
        </w:rPr>
        <w:t xml:space="preserve"> deadline for filing written comments or protests</w:t>
      </w:r>
      <w:r>
        <w:rPr>
          <w:color w:val="000000"/>
          <w:rFonts w:ascii="Times New Roman  (TT)" w:hAnsi="Times New Roman  (TT)"/>
          <w:sz w:val="24"/>
        </w:rPr>
        <w:t xml:space="preserve"> with respect to the Company’s filing and the use of Modified Procedure in Case No. INT-G-95-2 is </w:t>
      </w:r>
      <w:r>
        <w:rPr>
          <w:color w:val="000000"/>
          <w:rFonts w:ascii="Times New Roman  (TT)" w:hAnsi="Times New Roman  (TT)"/>
          <w:sz w:val="24"/>
        </w:rPr>
        <w:t xml:space="preserve">Wednesday May 17,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protests or comments are received within the deadline, the Commission may consider the matter and enter its order without a hearing.  If comments or protests are filed within the deadline, the Commission will consider them and may set the matter for hearing or may decide the matter and issue its order on the basis of the written positions before it.  Reference IDAPA 31.01.01204.</w:t>
      </w:r>
      <w:r>
        <w:rPr/>
      </w:r>
    </w:p>
    <w:p>
      <w:r>
        <w:rPr>
          <w:color w:val="000000"/>
          <w:rFonts w:ascii="Times New Roman  (TT)" w:hAnsi="Times New Roman  (TT)"/>
          <w:sz w:val="24"/>
        </w:rPr>
        <w:t xml:space="preserve">YOU ARE FURTHER NOTIFIED that written comments concerning Case No. INT-G-95-2 must be mailed to:</w:t>
      </w:r>
      <w:r>
        <w:rPr/>
      </w:r>
    </w:p>
    <w:p>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All comments filed should contain the case caption and case number shown on the first page of this document.</w:t>
      </w:r>
      <w:r>
        <w:rPr/>
      </w:r>
    </w:p>
    <w:p>
      <w:r>
        <w:rPr/>
      </w:r>
    </w:p>
    <w:p>
      <w:r>
        <w:rPr/>
      </w:r>
    </w:p>
    <w:p>
      <w:r>
        <w:rPr>
          <w:color w:val="000000"/>
          <w:rFonts w:ascii="Times New Roman  (TT)" w:hAnsi="Times New Roman  (TT)"/>
          <w:sz w:val="24"/>
        </w:rPr>
        <w:t xml:space="preserve">DATED at Boise, Idaho this              day of May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JR\N-INT-G-95-2.SW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