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CHANGE ITS PRICES.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27611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29, 1998, Intermountain Gas Company (IGC; Company) filed an Application with the Idaho Public Utilities Commission (Commission) for authority to place into effect new rate schedules that would result in an overall decrease of approximately $1.1 million in its annualized revenues.  The decrease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vertAlign w:val="baseline"/>
        </w:rPr>
      </w:r>
    </w:p>
    <w:p>
      <w:r>
        <w:rPr>
          <w:color w:val="000000"/>
          <w:rFonts w:ascii="Times New Roman" w:hAnsi="Times New Roman"/>
          <w:sz w:val="24"/>
          <w:vertAlign w:val="baseline"/>
        </w:rPr>
        <w:t xml:space="preserve">The proposed adjustments reflected in the Application include changes in costs billed IGC by Williams Gas Pipelines-West (WGP-W) and other transportation companies, the elimination of temporary surcharges and credits (INT-G-97-3), an increase in the Company’s weighted average cost of gas (WACOG), the benefits generated from the Company’s segmentation of its firm capacity rights on WGP-W’s system, the inclusion of temporary sur­charges and credits relating to gas and transportation related costs from the Company’s deferred gas cost account (PGA Account 186), and an updated customer allocation of gas-related costs.</w:t>
      </w:r>
      <w:r>
        <w:rPr>
          <w:vertAlign w:val="baseline"/>
        </w:rPr>
      </w:r>
    </w:p>
    <w:p>
      <w:r>
        <w:rPr>
          <w:color w:val="000000"/>
          <w:rFonts w:ascii="Times New Roman" w:hAnsi="Times New Roman"/>
          <w:sz w:val="24"/>
          <w:vertAlign w:val="baseline"/>
        </w:rPr>
        <w:t xml:space="preserve">The Application proposes implementation of the following permanent and temporary changes, adjustments, surcharges and credits to IGC’s tariff rates for natural gas service, sales and transportation:</w:t>
      </w:r>
      <w:r>
        <w:rPr>
          <w:vertAlign w:val="baseline"/>
        </w:rPr>
      </w:r>
    </w:p>
    <w:p>
      <w:r>
        <w:rPr>
          <w:vertAlign w:val="baseline"/>
        </w:rPr>
      </w:r>
    </w:p>
    <w:p>
      <w:r>
        <w:rPr>
          <w:color w:val="000000"/>
          <w:rFonts w:ascii="Times New Roman" w:hAnsi="Times New Roman"/>
          <w:sz w:val="24"/>
          <w:vertAlign w:val="baseline"/>
        </w:rPr>
        <w:t xml:space="preserve">Permanent Adjustments:</w:t>
      </w:r>
      <w:r>
        <w:rPr>
          <w:vertAlign w:val="baseline"/>
        </w:rPr>
      </w:r>
    </w:p>
    <w:p>
      <w:r>
        <w:rPr>
          <w:color w:val="000000"/>
          <w:rFonts w:ascii="Times New Roman" w:hAnsi="Times New Roman"/>
          <w:sz w:val="24"/>
          <w:vertAlign w:val="baseline"/>
        </w:rPr>
        <w:t xml:space="preserve">●INT-G-97-3 Elimination of Temporary Surcharges/Credits($ 120,813) </w:t>
      </w:r>
      <w:r>
        <w:rPr>
          <w:vertAlign w:val="baseline"/>
        </w:rPr>
      </w:r>
    </w:p>
    <w:p>
      <w:r>
        <w:rPr>
          <w:color w:val="000000"/>
          <w:rFonts w:ascii="Times New Roman" w:hAnsi="Times New Roman"/>
          <w:sz w:val="24"/>
          <w:vertAlign w:val="baseline"/>
        </w:rPr>
        <w:t xml:space="preserve">●Change in WGP-W rates/charges ($294,183) </w:t>
      </w:r>
      <w:r>
        <w:rPr>
          <w:vertAlign w:val="baseline"/>
        </w:rPr>
      </w:r>
    </w:p>
    <w:p>
      <w:r>
        <w:rPr>
          <w:color w:val="000000"/>
          <w:rFonts w:ascii="Times New Roman" w:hAnsi="Times New Roman"/>
          <w:sz w:val="24"/>
          <w:vertAlign w:val="baseline"/>
        </w:rPr>
        <w:t xml:space="preserve">●Fixed Cost Collection($196,798)</w:t>
      </w:r>
      <w:r>
        <w:rPr>
          <w:vertAlign w:val="baseline"/>
        </w:rPr>
      </w:r>
    </w:p>
    <w:p>
      <w:r>
        <w:rPr>
          <w:color w:val="000000"/>
          <w:rFonts w:ascii="Times New Roman" w:hAnsi="Times New Roman"/>
          <w:sz w:val="24"/>
          <w:vertAlign w:val="baseline"/>
        </w:rPr>
        <w:t xml:space="preserve">Temporary Surcharges or Credits</w:t>
      </w:r>
      <w:r>
        <w:rPr>
          <w:vertAlign w:val="baseline"/>
        </w:rPr>
      </w:r>
    </w:p>
    <w:p>
      <w:r>
        <w:rPr>
          <w:color w:val="000000"/>
          <w:rFonts w:ascii="Times New Roman" w:hAnsi="Times New Roman"/>
          <w:sz w:val="24"/>
          <w:vertAlign w:val="baseline"/>
        </w:rPr>
        <w:t xml:space="preserve">Deferred Gas Costs (IGC PGA Acct 186)</w:t>
      </w:r>
      <w:r>
        <w:rPr>
          <w:vertAlign w:val="baseline"/>
        </w:rPr>
      </w:r>
    </w:p>
    <w:p>
      <w:r>
        <w:rPr>
          <w:color w:val="000000"/>
          <w:rFonts w:ascii="Times New Roman" w:hAnsi="Times New Roman"/>
          <w:sz w:val="24"/>
          <w:vertAlign w:val="baseline"/>
        </w:rPr>
        <w:t xml:space="preserve">●NWP Refund Docket No. RP96-367($2,000,000)</w:t>
      </w:r>
      <w:r>
        <w:rPr>
          <w:vertAlign w:val="baseline"/>
        </w:rPr>
      </w:r>
    </w:p>
    <w:p>
      <w:r>
        <w:rPr>
          <w:color w:val="000000"/>
          <w:rFonts w:ascii="Times New Roman" w:hAnsi="Times New Roman"/>
          <w:sz w:val="24"/>
          <w:vertAlign w:val="baseline"/>
        </w:rPr>
        <w:t xml:space="preserve">●Variable Cost Collection Adjustment($    44,772)</w:t>
      </w:r>
      <w:r>
        <w:rPr>
          <w:vertAlign w:val="baseline"/>
        </w:rPr>
      </w:r>
    </w:p>
    <w:p>
      <w:r>
        <w:rPr>
          <w:color w:val="000000"/>
          <w:rFonts w:ascii="Times New Roman" w:hAnsi="Times New Roman"/>
          <w:sz w:val="24"/>
          <w:vertAlign w:val="baseline"/>
        </w:rPr>
        <w:t xml:space="preserve">●Uncollected Gas Costs $4,953,484 </w:t>
      </w:r>
      <w:r>
        <w:rPr>
          <w:vertAlign w:val="baseline"/>
        </w:rPr>
      </w:r>
    </w:p>
    <w:p>
      <w:r>
        <w:rPr>
          <w:color w:val="000000"/>
          <w:rFonts w:ascii="Times New Roman" w:hAnsi="Times New Roman"/>
          <w:sz w:val="24"/>
          <w:vertAlign w:val="baseline"/>
        </w:rPr>
        <w:t xml:space="preserve">●Market Segmentation($2,433,688)</w:t>
      </w:r>
      <w:r>
        <w:rPr>
          <w:vertAlign w:val="baseline"/>
        </w:rPr>
      </w:r>
    </w:p>
    <w:p>
      <w:r>
        <w:rPr>
          <w:color w:val="000000"/>
          <w:rFonts w:ascii="Times New Roman" w:hAnsi="Times New Roman"/>
          <w:sz w:val="24"/>
          <w:vertAlign w:val="baseline"/>
        </w:rPr>
        <w:t xml:space="preserve">●Fixed Gas Cost Misc ($  952,176) </w:t>
      </w:r>
      <w:r>
        <w:rPr>
          <w:vertAlign w:val="baseline"/>
        </w:rPr>
      </w:r>
    </w:p>
    <w:p>
      <w:r>
        <w:rPr>
          <w:color w:val="000000"/>
          <w:rFonts w:ascii="Times New Roman" w:hAnsi="Times New Roman"/>
          <w:sz w:val="24"/>
          <w:vertAlign w:val="baseline"/>
        </w:rPr>
        <w:t xml:space="preserve">As computed by the Company, the total requested decrease in revenue on an annual basis is $1,091,471 or 0.94%.  The net decrease in sales gas revenues is ($1,031,435) or (1.00%).  The  decrease in T-1 transportation service revenues is ($130,501) or (1.15%).  The net increase in T-2 transportation service revenues is $70,465 or 18.83%.  The annualized change in rates by class of service per Company calculation is as follows:  </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Gas Sales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RS-1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($162,712)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(0.77%)</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$0.60341</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RS-2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($ 904,852)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(0.958¢)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$0.48844</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GS-1 Genl Svc</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$ 36,129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0.046¢ </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0.10% </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$0.45440</w:t>
            </w:r>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LV-1 Large Vol. *     </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 T-1 tariff price plus the Weighted Average Cost of Gas (WACOG), $0.15684</w:t>
            </w:r>
            <w:r>
              <w:rPr>
                <w:vertAlign w:val="baseline"/>
              </w:rPr>
            </w:r>
          </w:p>
          <w:p>
            <w:r>
              <w:rPr>
                <w:color w:val="000000"/>
                <w:rFonts w:ascii="Times New Roman" w:hAnsi="Times New Roman"/>
                <w:sz w:val="22"/>
                <w:vertAlign w:val="baseline"/>
              </w:rPr>
              <w:t xml:space="preserve">                     (Compare WACOG INT-G-97-3:  $0.14869)</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WACOG = total commodity cost of gas ÷ total purchase therms</w:t>
            </w:r>
            <w:r>
              <w:rPr>
                <w:vertAlign w:val="baseline"/>
              </w:rPr>
            </w:r>
          </w:p>
        </w:tc>
      </w:tr>
    </w:tbl>
    <w:p>
      <w:pP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Transportation</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T-1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130,501)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(0.100¢)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$0.08610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T-2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70,465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0.311¢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18.83%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$0.01963</w:t>
            </w:r>
            <w:r>
              <w:rPr>
                <w:vertAlign w:val="baseline"/>
              </w:rPr>
            </w:r>
          </w:p>
        </w:tc>
      </w:tr>
    </w:tbl>
    <w:p>
      <w:pPr/>
    </w:p>
    <w:p>
      <w:r>
        <w:rPr>
          <w:vertAlign w:val="baseline"/>
        </w:rPr>
      </w:r>
    </w:p>
    <w:p>
      <w:r>
        <w:rPr>
          <w:color w:val="000000"/>
          <w:rFonts w:ascii="Times New Roman" w:hAnsi="Times New Roman"/>
          <w:sz w:val="24"/>
          <w:vertAlign w:val="baseline"/>
        </w:rPr>
        <w:t xml:space="preserve">With the exception of the Industrial Class, IGC proposes to allocate the change in rates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WGP-W’s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WGP-W’s firm transportation TF-1 commodity charge.</w:t>
      </w:r>
      <w:r>
        <w:rPr>
          <w:vertAlign w:val="baseline"/>
        </w:rPr>
      </w:r>
    </w:p>
    <w:p>
      <w:r>
        <w:rPr>
          <w:vertAlign w:val="baseline"/>
        </w:rPr>
      </w:r>
    </w:p>
    <w:p>
      <w:r>
        <w:rPr>
          <w:color w:val="000000"/>
          <w:rFonts w:ascii="Times New Roman" w:hAnsi="Times New Roman"/>
          <w:sz w:val="24"/>
          <w:vertAlign w:val="baseline"/>
        </w:rPr>
        <w:t xml:space="preserve">On June 5, 1998, the Commission issued a Notice of Application and Modified Procedure in Case No. INT-G-98-4.  The deadline for filing written comments was June 24, 1998.  Commission Staff was the only party to file comments.  Staff reviewed the Company’s filing and performed a limited audit.  Staff’s audit of gas supply, swaps, capacity release, segmentation, added firm transportation capacity, tariff allocation and PGA changes revealed no irregularities.  Staff recommends that the Company’s Application and requested changes to tariff rates be approved for effective date July 1, 1998.</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Company’s Application in Case No. INT-G-98-4 together with the attached exhibits and workpapers.  The Commission has also reviewed and considered the comments and recommendations of Staff which performed an audit related to the Company’s Application.  We find that the public interest regarding the requested change in rates does not require a public hearing to consider the issues presented and that it is reasonable to process the Application and issue an Order without further notice or public comment.  Reference IDAPA 31.01.01.204.</w:t>
      </w:r>
      <w:r>
        <w:rPr>
          <w:vertAlign w:val="baseline"/>
        </w:rPr>
      </w:r>
    </w:p>
    <w:p>
      <w:r>
        <w:rPr>
          <w:color w:val="000000"/>
          <w:rFonts w:ascii="Times New Roman" w:hAnsi="Times New Roman"/>
          <w:sz w:val="24"/>
          <w:vertAlign w:val="baseline"/>
        </w:rPr>
        <w:t xml:space="preserve">The Company in this case has requested a $1,091,471 decrease in its annualized revenues.  Based on our review and analysis we find it appropriate, just and reasonable to approve the requested decrease.  We further find it reasonable that the change in rates and charges be implemented as reflected in the purposed tariff sheets submitted by the Company for an effective date of July 1, 1998.  Our approval includes the permanent adjustments, the temporary gas cost adjustments, surcharges and credits, and a balancing out of the Company’s deferred PGA account 186.  We further agree that the changes should be tracked through to the customers as proposed in the Company’s Application. </w:t>
      </w:r>
      <w:r>
        <w:rPr>
          <w:vertAlign w:val="baseline"/>
        </w:rPr>
      </w:r>
    </w:p>
    <w:p>
      <w:r>
        <w:rPr>
          <w:color w:val="000000"/>
          <w:rFonts w:ascii="Times New Roman" w:hAnsi="Times New Roman"/>
          <w:sz w:val="24"/>
          <w:vertAlign w:val="baseline"/>
        </w:rPr>
        <w:t xml:space="preserve">CONCLUSION OF LAW </w:t>
      </w:r>
      <w:r>
        <w:rPr>
          <w:vertAlign w:val="baseline"/>
        </w:rPr>
      </w:r>
    </w:p>
    <w:p>
      <w:r>
        <w:rPr>
          <w:color w:val="000000"/>
          <w:rFonts w:ascii="Times New Roman" w:hAnsi="Times New Roman"/>
          <w:sz w:val="24"/>
          <w:vertAlign w:val="baseline"/>
        </w:rPr>
        <w:t xml:space="preserve">The Idaho Public Utilities Commission has jurisdiction over this matter and Intermountain Gas Company, a gas utility,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et seq.</w:t>
      </w:r>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Intermountain Gas Company is hereby authorized to change its rates and charges for RS1, RS2, GS1 and LV1/T1/T2 customers in the manner reflected in the Company’s amended tariff sheets heretofore filed with the Commission for an effective date of implementation of July 1, 1998.  The amended tariff sheets comport with an adjusted annual revenue requirement decrease of $1,091,471.</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cm\O:intg984.sw2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