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686A">
      <w:pPr>
        <w:tabs>
          <w:tab w:val="left" w:pos="-1152"/>
        </w:tabs>
        <w:spacing w:line="360" w:lineRule="auto"/>
        <w:jc w:val="center"/>
      </w:pPr>
      <w:bookmarkStart w:id="0" w:name="_GoBack"/>
      <w:bookmarkEnd w:id="0"/>
      <w:r>
        <w:rPr>
          <w:b/>
          <w:noProof/>
        </w:rPr>
        <mc:AlternateContent>
          <mc:Choice Requires="wps">
            <w:drawing>
              <wp:anchor distT="0" distB="0" distL="114300" distR="114300" simplePos="0" relativeHeight="251657728" behindDoc="1" locked="0" layoutInCell="0" allowOverlap="1">
                <wp:simplePos x="0" y="0"/>
                <wp:positionH relativeFrom="column">
                  <wp:posOffset>4892040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7686A">
                            <w:pPr>
                              <w:jc w:val="center"/>
                              <w:rPr>
                                <w:sz w:val="19"/>
                              </w:rPr>
                            </w:pPr>
                            <w:r>
                              <w:rPr>
                                <w:sz w:val="19"/>
                              </w:rPr>
                              <w:t>Office of the Secretary</w:t>
                            </w:r>
                          </w:p>
                          <w:p w:rsidR="00000000" w:rsidRDefault="0027686A">
                            <w:pPr>
                              <w:jc w:val="center"/>
                              <w:rPr>
                                <w:sz w:val="19"/>
                              </w:rPr>
                            </w:pPr>
                            <w:r>
                              <w:rPr>
                                <w:sz w:val="19"/>
                              </w:rPr>
                              <w:t>Service Date</w:t>
                            </w:r>
                          </w:p>
                          <w:p w:rsidR="00000000" w:rsidRDefault="0027686A">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4,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2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" o:allowincell="f" stroked="f">
                <v:textbox>
                  <w:txbxContent>
                    <w:p w:rsidR="00000000" w:rsidRDefault="0027686A">
                      <w:pPr>
                        <w:jc w:val="center"/>
                        <w:rPr>
                          <w:sz w:val="19"/>
                        </w:rPr>
                      </w:pPr>
                      <w:r>
                        <w:rPr>
                          <w:sz w:val="19"/>
                        </w:rPr>
                        <w:t>Office of the Secretary</w:t>
                      </w:r>
                    </w:p>
                    <w:p w:rsidR="00000000" w:rsidRDefault="0027686A">
                      <w:pPr>
                        <w:jc w:val="center"/>
                        <w:rPr>
                          <w:sz w:val="19"/>
                        </w:rPr>
                      </w:pPr>
                      <w:r>
                        <w:rPr>
                          <w:sz w:val="19"/>
                        </w:rPr>
                        <w:t>Service Date</w:t>
                      </w:r>
                    </w:p>
                    <w:p w:rsidR="00000000" w:rsidRDefault="0027686A">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4, 1999</w:t>
                      </w:r>
                      <w:r>
                        <w:rPr>
                          <w:sz w:val="19"/>
                        </w:rPr>
                        <w:fldChar w:fldCharType="end"/>
                      </w:r>
                    </w:p>
                  </w:txbxContent>
                </v:textbox>
              </v:shape>
            </w:pict>
          </mc:Fallback>
        </mc:AlternateContent>
      </w:r>
      <w:r>
        <w:rPr>
          <w:b/>
        </w:rPr>
        <w:t>BEFORE THE IDAHO PUBLIC UTILITIES COMMISSION</w:t>
      </w:r>
    </w:p>
    <w:p w:rsidR="00000000" w:rsidRDefault="0027686A">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4" w:space="0" w:color="auto"/>
              <w:right w:val="single" w:sz="6" w:space="0" w:color="FFFFFF"/>
            </w:tcBorders>
          </w:tcPr>
          <w:p w:rsidR="00000000" w:rsidRDefault="0027686A">
            <w:pPr>
              <w:tabs>
                <w:tab w:val="left" w:pos="5040"/>
                <w:tab w:val="left" w:pos="5670"/>
              </w:tabs>
              <w:spacing w:after="19"/>
              <w:rPr>
                <w:b/>
              </w:rPr>
            </w:pPr>
            <w:r>
              <w:rPr>
                <w:b/>
              </w:rPr>
              <w:t xml:space="preserve">IN THE MATTER OF THE PETITION OF, CENTURYTEL OF THE GEM STATE, INC. FOR LIMITED SUSPENSION OF ITS 47 U.S.C. § 251(B)(3) OBLIGATION TO IMPLEMENT INTRASTATE, INTRALATA DIALING PARITY FOR EIGHTY-EIGHT (88) LINES </w:t>
            </w:r>
            <w:r>
              <w:rPr>
                <w:b/>
              </w:rPr>
              <w:t>IN THE GRAEMERE, IDAHO.</w:t>
            </w:r>
          </w:p>
          <w:p w:rsidR="00000000" w:rsidRDefault="0027686A">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27686A">
            <w:pPr>
              <w:tabs>
                <w:tab w:val="left" w:pos="5040"/>
                <w:tab w:val="left" w:pos="5670"/>
              </w:tabs>
              <w:rPr>
                <w:b/>
              </w:rPr>
            </w:pPr>
            <w:r>
              <w:rPr>
                <w:b/>
              </w:rPr>
              <w:t>)</w:t>
            </w:r>
          </w:p>
          <w:p w:rsidR="00000000" w:rsidRDefault="0027686A">
            <w:pPr>
              <w:tabs>
                <w:tab w:val="left" w:pos="5040"/>
                <w:tab w:val="left" w:pos="5670"/>
              </w:tabs>
              <w:rPr>
                <w:b/>
              </w:rPr>
            </w:pPr>
            <w:r>
              <w:rPr>
                <w:b/>
              </w:rPr>
              <w:t>)</w:t>
            </w:r>
          </w:p>
          <w:p w:rsidR="00000000" w:rsidRDefault="0027686A">
            <w:pPr>
              <w:tabs>
                <w:tab w:val="left" w:pos="5040"/>
                <w:tab w:val="left" w:pos="5670"/>
              </w:tabs>
              <w:rPr>
                <w:b/>
              </w:rPr>
            </w:pPr>
            <w:r>
              <w:rPr>
                <w:b/>
              </w:rPr>
              <w:t>)</w:t>
            </w:r>
          </w:p>
          <w:p w:rsidR="00000000" w:rsidRDefault="0027686A">
            <w:pPr>
              <w:tabs>
                <w:tab w:val="left" w:pos="5040"/>
                <w:tab w:val="left" w:pos="5670"/>
              </w:tabs>
              <w:rPr>
                <w:b/>
              </w:rPr>
            </w:pPr>
            <w:r>
              <w:rPr>
                <w:b/>
              </w:rPr>
              <w:t>)</w:t>
            </w:r>
          </w:p>
          <w:p w:rsidR="00000000" w:rsidRDefault="0027686A">
            <w:pPr>
              <w:tabs>
                <w:tab w:val="left" w:pos="5040"/>
                <w:tab w:val="left" w:pos="5670"/>
              </w:tabs>
              <w:rPr>
                <w:b/>
              </w:rPr>
            </w:pPr>
            <w:r>
              <w:rPr>
                <w:b/>
              </w:rPr>
              <w:t>)</w:t>
            </w:r>
          </w:p>
          <w:p w:rsidR="00000000" w:rsidRDefault="0027686A">
            <w:pPr>
              <w:tabs>
                <w:tab w:val="left" w:pos="5040"/>
                <w:tab w:val="left" w:pos="5670"/>
              </w:tabs>
              <w:rPr>
                <w:b/>
              </w:rPr>
            </w:pPr>
            <w:r>
              <w:rPr>
                <w:b/>
              </w:rPr>
              <w:t>)</w:t>
            </w:r>
          </w:p>
          <w:p w:rsidR="00000000" w:rsidRDefault="0027686A">
            <w:pPr>
              <w:tabs>
                <w:tab w:val="left" w:pos="5040"/>
                <w:tab w:val="left" w:pos="5670"/>
              </w:tabs>
              <w:spacing w:after="19"/>
              <w:rPr>
                <w:b/>
              </w:rPr>
            </w:pPr>
            <w:r>
              <w:rPr>
                <w:b/>
              </w:rPr>
              <w:t>)</w:t>
            </w:r>
          </w:p>
          <w:p w:rsidR="00000000" w:rsidRDefault="0027686A">
            <w:pPr>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27686A">
            <w:pPr>
              <w:tabs>
                <w:tab w:val="left" w:pos="5040"/>
                <w:tab w:val="left" w:pos="5670"/>
              </w:tabs>
              <w:rPr>
                <w:b/>
              </w:rPr>
            </w:pPr>
            <w:r>
              <w:rPr>
                <w:b/>
              </w:rPr>
              <w:t>CASE NO.  CGS-T-99-2</w:t>
            </w:r>
          </w:p>
          <w:p w:rsidR="00000000" w:rsidRDefault="0027686A">
            <w:pPr>
              <w:tabs>
                <w:tab w:val="left" w:pos="5040"/>
                <w:tab w:val="left" w:pos="5670"/>
              </w:tabs>
              <w:rPr>
                <w:b/>
              </w:rPr>
            </w:pPr>
          </w:p>
          <w:p w:rsidR="00000000" w:rsidRDefault="0027686A">
            <w:pPr>
              <w:tabs>
                <w:tab w:val="left" w:pos="5040"/>
                <w:tab w:val="left" w:pos="5670"/>
              </w:tabs>
              <w:rPr>
                <w:b/>
              </w:rPr>
            </w:pPr>
            <w:r>
              <w:rPr>
                <w:b/>
              </w:rPr>
              <w:t>NOTICE OF PETITION</w:t>
            </w:r>
          </w:p>
          <w:p w:rsidR="00000000" w:rsidRDefault="0027686A">
            <w:pPr>
              <w:tabs>
                <w:tab w:val="left" w:pos="5040"/>
                <w:tab w:val="left" w:pos="5670"/>
              </w:tabs>
              <w:rPr>
                <w:b/>
              </w:rPr>
            </w:pPr>
          </w:p>
          <w:p w:rsidR="00000000" w:rsidRDefault="0027686A">
            <w:pPr>
              <w:tabs>
                <w:tab w:val="left" w:pos="5040"/>
                <w:tab w:val="left" w:pos="5670"/>
              </w:tabs>
              <w:rPr>
                <w:b/>
              </w:rPr>
            </w:pPr>
            <w:r>
              <w:rPr>
                <w:b/>
              </w:rPr>
              <w:t>NOTICE OF MODIFIED PROCEDURE</w:t>
            </w:r>
          </w:p>
          <w:p w:rsidR="00000000" w:rsidRDefault="0027686A">
            <w:pPr>
              <w:tabs>
                <w:tab w:val="left" w:pos="5040"/>
                <w:tab w:val="left" w:pos="5670"/>
              </w:tabs>
              <w:rPr>
                <w:b/>
              </w:rPr>
            </w:pPr>
          </w:p>
          <w:p w:rsidR="00000000" w:rsidRDefault="0027686A">
            <w:pPr>
              <w:tabs>
                <w:tab w:val="left" w:pos="5040"/>
                <w:tab w:val="left" w:pos="5670"/>
              </w:tabs>
              <w:rPr>
                <w:b/>
              </w:rPr>
            </w:pPr>
            <w:r>
              <w:rPr>
                <w:b/>
              </w:rPr>
              <w:t>ORDER NO.  28030</w:t>
            </w:r>
          </w:p>
        </w:tc>
      </w:tr>
    </w:tbl>
    <w:p w:rsidR="00000000" w:rsidRDefault="0027686A"/>
    <w:p w:rsidR="00000000" w:rsidRDefault="0027686A">
      <w:pPr>
        <w:tabs>
          <w:tab w:val="left" w:pos="5040"/>
          <w:tab w:val="left" w:pos="5670"/>
        </w:tabs>
        <w:jc w:val="both"/>
      </w:pPr>
    </w:p>
    <w:p w:rsidR="00000000" w:rsidRDefault="0027686A">
      <w:pPr>
        <w:pStyle w:val="Heading1"/>
        <w:keepLines w:val="0"/>
        <w:tabs>
          <w:tab w:val="clear" w:pos="4680"/>
          <w:tab w:val="clear" w:pos="5760"/>
          <w:tab w:val="clear" w:pos="6480"/>
          <w:tab w:val="clear" w:pos="7200"/>
          <w:tab w:val="clear" w:pos="7920"/>
          <w:tab w:val="clear" w:pos="8640"/>
          <w:tab w:val="clear" w:pos="9360"/>
          <w:tab w:val="left" w:pos="5670"/>
        </w:tabs>
        <w:rPr>
          <w:b w:val="0"/>
        </w:rPr>
      </w:pPr>
      <w:r>
        <w:t>NOTICE OF PETITION</w:t>
      </w:r>
    </w:p>
    <w:p w:rsidR="00000000" w:rsidRDefault="0027686A">
      <w:pPr>
        <w:spacing w:line="360" w:lineRule="auto"/>
        <w:ind w:firstLine="1080"/>
        <w:jc w:val="both"/>
      </w:pPr>
      <w:r>
        <w:t>YOU ARE HEREBY NOTIFIED that on April 22, 1999, CenturyTel of the Gem State, Inc., filed a Petition purs</w:t>
      </w:r>
      <w:r>
        <w:t xml:space="preserve">uant to 47 U.S.C. §251(f)(2) requesting a limited suspension of the obligations of 47 U.S.C. § 251(b)(3) to eighty-eight (88) access lines in the Grasmere-Riddle, Idaho exchange.  </w:t>
      </w:r>
    </w:p>
    <w:p w:rsidR="00000000" w:rsidRDefault="0027686A">
      <w:pPr>
        <w:spacing w:line="360" w:lineRule="auto"/>
        <w:jc w:val="both"/>
      </w:pPr>
      <w:r>
        <w:tab/>
        <w:t>YOU ARE FURTHER NOTIFIED that 47 U.S.C. § 251(b)(3) requires all local exc</w:t>
      </w:r>
      <w:r>
        <w:t>hange carriers (LECs) to provide toll dialing parity to competing providers of telephone exchange service and telephone toll service, and to permit all such providers to have nondiscriminatory access to telephone numbers, operator services, directory assis</w:t>
      </w:r>
      <w:r>
        <w:t>tance, and directory listing, with no unreasonable dialing delays.</w:t>
      </w:r>
    </w:p>
    <w:p w:rsidR="00000000" w:rsidRDefault="0027686A">
      <w:pPr>
        <w:pStyle w:val="BodyTextIndent"/>
        <w:tabs>
          <w:tab w:val="clear" w:pos="1080"/>
        </w:tabs>
      </w:pPr>
      <w:r>
        <w:t xml:space="preserve">YOU ARE FURTHER NOTIFIED that toll dialing parity, also referred to as “1 plus equal access” or carrier presubscription, allows a customer to pre-select a carrier for intrastate, intraLATA </w:t>
      </w:r>
      <w:r>
        <w:t xml:space="preserve">toll calls and then access his chosen carrier simply by dialing 1 plus the telephone number.  Without dialing parity, a customer wishing to use a specific toll carrier may be required to dial a series of numbers before dialing the telephone number.  </w:t>
      </w:r>
    </w:p>
    <w:p w:rsidR="00000000" w:rsidRDefault="0027686A">
      <w:pPr>
        <w:spacing w:line="360" w:lineRule="auto"/>
        <w:ind w:firstLine="1080"/>
        <w:jc w:val="both"/>
      </w:pPr>
      <w:r>
        <w:t>YOU A</w:t>
      </w:r>
      <w:r>
        <w:t xml:space="preserve">RE FURTHER NOTIFIED that CenturyTel states that these access lines are served out of CenturyTel’s DCO switch located in Owyhee, Nevada, and the switch is currently technically incapable of providing dialing parity and uneconomical.  </w:t>
      </w:r>
    </w:p>
    <w:p w:rsidR="00000000" w:rsidRDefault="0027686A">
      <w:pPr>
        <w:spacing w:line="360" w:lineRule="auto"/>
        <w:ind w:firstLine="1080"/>
        <w:jc w:val="both"/>
      </w:pPr>
      <w:r>
        <w:t>YOU ARE FURTHER NOTIFI</w:t>
      </w:r>
      <w:r>
        <w:t xml:space="preserve">ED that CenturyTel further states that a new switch is scheduled to be installed by the end of the second quarter of the year 2000.  </w:t>
      </w:r>
      <w:r>
        <w:lastRenderedPageBreak/>
        <w:t>Until then, CenturyTel states it cannot offer dialing parity to those eighty-eight (88) access lines.  Therefore, it allege</w:t>
      </w:r>
      <w:r>
        <w:t xml:space="preserve">s that it is in the public interest to suspend the obligations of 47 U.S.C. § 251(b)(3) until the third quarter of the year 2000.  </w:t>
      </w:r>
    </w:p>
    <w:p w:rsidR="00000000" w:rsidRDefault="0027686A">
      <w:pPr>
        <w:spacing w:line="360" w:lineRule="auto"/>
        <w:ind w:firstLine="1080"/>
        <w:jc w:val="both"/>
      </w:pPr>
      <w:r>
        <w:t>YOU ARE FURTHER NOTIFIED that CenturyTel filed a timely dialing parity plan for its other exchanges, as required by the Fede</w:t>
      </w:r>
      <w:r>
        <w:t>ral Communications Commission (FCC) order dated March 23, 1999, in FCC Docket No. 96-98, that requires all LECs to file their dialing parity plans with state commissions by April 22, 1999.</w:t>
      </w:r>
    </w:p>
    <w:p w:rsidR="00000000" w:rsidRDefault="0027686A">
      <w:pPr>
        <w:spacing w:line="360" w:lineRule="auto"/>
        <w:ind w:firstLine="720"/>
        <w:jc w:val="both"/>
      </w:pPr>
      <w:r>
        <w:t>YOU ARE FURTHER NOTIFIED that upon Petition by a local exchange car</w:t>
      </w:r>
      <w:r>
        <w:t>rier with fewer than two percent (2%) of the Nation's subscriber lines installed in the aggregate nationwide, the Commission may suspend or modify the any of the obligations of Section 251(b), provided the Commission determines that such suspension or modi</w:t>
      </w:r>
      <w:r>
        <w:t>fication is necessary to:</w:t>
      </w:r>
    </w:p>
    <w:p w:rsidR="00000000" w:rsidRDefault="0027686A">
      <w:pPr>
        <w:pStyle w:val="BodyTextIndent2"/>
        <w:numPr>
          <w:ilvl w:val="0"/>
          <w:numId w:val="1"/>
        </w:numPr>
        <w:tabs>
          <w:tab w:val="clear" w:pos="2160"/>
          <w:tab w:val="left" w:pos="2610"/>
        </w:tabs>
        <w:ind w:right="720"/>
      </w:pPr>
      <w:r>
        <w:t>to avoid a significant adverse economic impact on users of telecommunications services generally;</w:t>
      </w:r>
    </w:p>
    <w:p w:rsidR="00000000" w:rsidRDefault="0027686A">
      <w:pPr>
        <w:pStyle w:val="BodyTextIndent2"/>
        <w:tabs>
          <w:tab w:val="clear" w:pos="2160"/>
          <w:tab w:val="left" w:pos="2610"/>
        </w:tabs>
        <w:ind w:left="720" w:right="720"/>
      </w:pPr>
    </w:p>
    <w:p w:rsidR="00000000" w:rsidRDefault="0027686A">
      <w:pPr>
        <w:pStyle w:val="BodyTextIndent2"/>
        <w:numPr>
          <w:ilvl w:val="0"/>
          <w:numId w:val="1"/>
        </w:numPr>
        <w:tabs>
          <w:tab w:val="clear" w:pos="2160"/>
        </w:tabs>
        <w:ind w:right="720"/>
      </w:pPr>
      <w:r>
        <w:t>to avoid imposing a requirement that is unduly economically burdensome; or</w:t>
      </w:r>
    </w:p>
    <w:p w:rsidR="00000000" w:rsidRDefault="0027686A">
      <w:pPr>
        <w:pStyle w:val="BodyTextIndent2"/>
        <w:tabs>
          <w:tab w:val="clear" w:pos="2160"/>
        </w:tabs>
        <w:ind w:left="0" w:right="720"/>
      </w:pPr>
    </w:p>
    <w:p w:rsidR="00000000" w:rsidRDefault="0027686A">
      <w:pPr>
        <w:numPr>
          <w:ilvl w:val="0"/>
          <w:numId w:val="1"/>
        </w:numPr>
        <w:ind w:right="720"/>
        <w:jc w:val="both"/>
      </w:pPr>
      <w:r>
        <w:t>to avoid imposing a requirement that is technically inf</w:t>
      </w:r>
      <w:r>
        <w:t>easible; and</w:t>
      </w:r>
    </w:p>
    <w:p w:rsidR="00000000" w:rsidRDefault="0027686A">
      <w:pPr>
        <w:ind w:right="720"/>
        <w:jc w:val="both"/>
      </w:pPr>
    </w:p>
    <w:p w:rsidR="00000000" w:rsidRDefault="0027686A">
      <w:pPr>
        <w:numPr>
          <w:ilvl w:val="0"/>
          <w:numId w:val="1"/>
        </w:numPr>
        <w:ind w:right="720"/>
        <w:jc w:val="both"/>
      </w:pPr>
      <w:r>
        <w:t xml:space="preserve">is consistent with the public interest, convenience, and necessity. </w:t>
      </w:r>
    </w:p>
    <w:p w:rsidR="00000000" w:rsidRDefault="0027686A">
      <w:pPr>
        <w:ind w:right="720"/>
        <w:jc w:val="both"/>
      </w:pPr>
    </w:p>
    <w:p w:rsidR="00000000" w:rsidRDefault="0027686A">
      <w:pPr>
        <w:pStyle w:val="BodyText"/>
      </w:pPr>
      <w:r>
        <w:t xml:space="preserve">47 U.S.C. § 251(f)(2).  </w:t>
      </w:r>
    </w:p>
    <w:p w:rsidR="00000000" w:rsidRDefault="0027686A">
      <w:pPr>
        <w:pStyle w:val="BodyText"/>
        <w:ind w:firstLine="720"/>
      </w:pPr>
      <w:r>
        <w:t xml:space="preserve">YOU ARE FURTHER NOTIFIED that the Commission must act upon the Petition within one-hundred eighty (180) days after receiving the Petition.  </w:t>
      </w:r>
      <w:r>
        <w:rPr>
          <w:i/>
        </w:rPr>
        <w:t xml:space="preserve">Id.  </w:t>
      </w:r>
      <w:r>
        <w:t>Ce</w:t>
      </w:r>
      <w:r>
        <w:t xml:space="preserve">nturyTel has fewer than two percent (2%) of the Nation's subscriber lines installed in the aggregate nationwide.  </w:t>
      </w:r>
    </w:p>
    <w:p w:rsidR="00000000" w:rsidRDefault="0027686A">
      <w:pPr>
        <w:pStyle w:val="BodyText"/>
        <w:jc w:val="center"/>
        <w:rPr>
          <w:b/>
        </w:rPr>
      </w:pPr>
      <w:r>
        <w:rPr>
          <w:b/>
        </w:rPr>
        <w:t xml:space="preserve">NOTICE OF MODIFIED PROCEDURE </w:t>
      </w:r>
    </w:p>
    <w:p w:rsidR="00000000" w:rsidRDefault="0027686A">
      <w:pPr>
        <w:tabs>
          <w:tab w:val="left" w:pos="1080"/>
          <w:tab w:val="left" w:pos="5040"/>
          <w:tab w:val="left" w:pos="5670"/>
        </w:tabs>
        <w:spacing w:line="360" w:lineRule="auto"/>
        <w:ind w:firstLine="1080"/>
        <w:jc w:val="both"/>
      </w:pPr>
      <w:r>
        <w:t>YOU ARE FURTHER NOTIFIED that the Commission has determined that the public interest may not require a formal h</w:t>
      </w:r>
      <w:r>
        <w:t>earing in these matters and will proceed under Modified Procedure pursuant to Rules 201 through 204 of the Idaho Public Utilities Commission's Rules of Procedure, IDAPA 31.01.01.201 through -.204.</w:t>
      </w:r>
    </w:p>
    <w:p w:rsidR="00000000" w:rsidRDefault="0027686A">
      <w:pPr>
        <w:tabs>
          <w:tab w:val="left" w:pos="1080"/>
          <w:tab w:val="left" w:pos="5040"/>
          <w:tab w:val="left" w:pos="5670"/>
        </w:tabs>
        <w:spacing w:line="360" w:lineRule="auto"/>
        <w:ind w:firstLine="1080"/>
        <w:jc w:val="both"/>
      </w:pPr>
      <w:r>
        <w:lastRenderedPageBreak/>
        <w:t xml:space="preserve">YOU ARE FURTHER NOTIFIED that any person desiring to state </w:t>
      </w:r>
      <w:r>
        <w:t>a position on this Petition may file a written comment in support or opposition with the Commission within twenty-one (21) days from the date of this Notice.  The comment must contain a statement of reasons supporting the comment.  Persons desiring a heari</w:t>
      </w:r>
      <w:r>
        <w:t>ng must specifically request a hearing in their written comments.  Written comments concerning this Petition shall be mailed to the Commission and the Petitioner at the address reflected below:</w:t>
      </w:r>
    </w:p>
    <w:p w:rsidR="00000000" w:rsidRDefault="0027686A">
      <w:pPr>
        <w:tabs>
          <w:tab w:val="left" w:pos="1080"/>
          <w:tab w:val="left" w:pos="5040"/>
          <w:tab w:val="left" w:pos="5670"/>
        </w:tabs>
        <w:spacing w:line="360" w:lineRule="auto"/>
        <w:jc w:val="both"/>
      </w:pPr>
    </w:p>
    <w:p w:rsidR="00000000" w:rsidRDefault="0027686A">
      <w:pPr>
        <w:keepNext/>
        <w:keepLines/>
        <w:tabs>
          <w:tab w:val="left" w:pos="-1440"/>
          <w:tab w:val="left" w:pos="-720"/>
          <w:tab w:val="left" w:pos="0"/>
          <w:tab w:val="left" w:pos="720"/>
          <w:tab w:val="left" w:pos="1440"/>
          <w:tab w:val="left" w:pos="2160"/>
          <w:tab w:val="left" w:pos="5220"/>
        </w:tabs>
        <w:jc w:val="both"/>
        <w:rPr>
          <w:sz w:val="20"/>
        </w:rPr>
      </w:pPr>
      <w:r>
        <w:rPr>
          <w:sz w:val="20"/>
        </w:rPr>
        <w:t>COMMISSION SECRETARY</w:t>
      </w:r>
      <w:r>
        <w:rPr>
          <w:sz w:val="20"/>
        </w:rPr>
        <w:tab/>
        <w:t>KAREN BRINKMANN</w:t>
      </w:r>
    </w:p>
    <w:p w:rsidR="00000000" w:rsidRDefault="0027686A">
      <w:pPr>
        <w:keepNext/>
        <w:keepLines/>
        <w:tabs>
          <w:tab w:val="left" w:pos="-1440"/>
          <w:tab w:val="left" w:pos="-720"/>
          <w:tab w:val="left" w:pos="0"/>
          <w:tab w:val="left" w:pos="720"/>
          <w:tab w:val="left" w:pos="5220"/>
        </w:tabs>
        <w:jc w:val="both"/>
        <w:rPr>
          <w:sz w:val="20"/>
        </w:rPr>
      </w:pPr>
      <w:r>
        <w:rPr>
          <w:sz w:val="20"/>
        </w:rPr>
        <w:t>IDAHO PUBLIC UTILITIES C</w:t>
      </w:r>
      <w:r>
        <w:rPr>
          <w:sz w:val="20"/>
        </w:rPr>
        <w:t>OMMISSION</w:t>
      </w:r>
      <w:r>
        <w:rPr>
          <w:sz w:val="20"/>
        </w:rPr>
        <w:tab/>
        <w:t>JOSEPH F. SCAVETTA</w:t>
      </w:r>
    </w:p>
    <w:p w:rsidR="00000000" w:rsidRDefault="0027686A">
      <w:pPr>
        <w:keepNext/>
        <w:keepLines/>
        <w:tabs>
          <w:tab w:val="left" w:pos="-1440"/>
          <w:tab w:val="left" w:pos="-720"/>
          <w:tab w:val="left" w:pos="0"/>
          <w:tab w:val="left" w:pos="720"/>
          <w:tab w:val="left" w:pos="5220"/>
        </w:tabs>
        <w:jc w:val="both"/>
        <w:rPr>
          <w:sz w:val="20"/>
        </w:rPr>
      </w:pPr>
      <w:r>
        <w:rPr>
          <w:sz w:val="20"/>
        </w:rPr>
        <w:t>PO BOX 83720</w:t>
      </w:r>
      <w:r>
        <w:rPr>
          <w:sz w:val="20"/>
        </w:rPr>
        <w:tab/>
        <w:t>1001 PENNSYLVANIA AVENUE, NW</w:t>
      </w:r>
    </w:p>
    <w:p w:rsidR="00000000" w:rsidRDefault="0027686A">
      <w:pPr>
        <w:keepNext/>
        <w:keepLines/>
        <w:tabs>
          <w:tab w:val="left" w:pos="-1440"/>
          <w:tab w:val="left" w:pos="-720"/>
          <w:tab w:val="left" w:pos="0"/>
          <w:tab w:val="left" w:pos="720"/>
          <w:tab w:val="left" w:pos="5220"/>
        </w:tabs>
        <w:jc w:val="both"/>
        <w:rPr>
          <w:sz w:val="20"/>
        </w:rPr>
      </w:pPr>
      <w:r>
        <w:rPr>
          <w:sz w:val="20"/>
        </w:rPr>
        <w:t>BOISE, IDAHO  83720-0074</w:t>
      </w:r>
      <w:r>
        <w:rPr>
          <w:sz w:val="20"/>
        </w:rPr>
        <w:tab/>
        <w:t>SUITE 1300</w:t>
      </w:r>
    </w:p>
    <w:p w:rsidR="00000000" w:rsidRDefault="0027686A">
      <w:pPr>
        <w:keepNext/>
        <w:keepLines/>
        <w:tabs>
          <w:tab w:val="left" w:pos="-1440"/>
          <w:tab w:val="left" w:pos="-720"/>
          <w:tab w:val="left" w:pos="0"/>
          <w:tab w:val="left" w:pos="720"/>
          <w:tab w:val="left" w:pos="5220"/>
        </w:tabs>
        <w:jc w:val="both"/>
        <w:rPr>
          <w:sz w:val="20"/>
        </w:rPr>
      </w:pPr>
      <w:r>
        <w:rPr>
          <w:sz w:val="20"/>
        </w:rPr>
        <w:tab/>
      </w:r>
      <w:r>
        <w:rPr>
          <w:sz w:val="20"/>
        </w:rPr>
        <w:tab/>
        <w:t>WASHINGTON, D.C.  20004</w:t>
      </w:r>
    </w:p>
    <w:p w:rsidR="00000000" w:rsidRDefault="0027686A">
      <w:pPr>
        <w:keepNext/>
        <w:keepLines/>
        <w:tabs>
          <w:tab w:val="left" w:pos="-1440"/>
          <w:tab w:val="left" w:pos="-720"/>
          <w:tab w:val="left" w:pos="0"/>
          <w:tab w:val="left" w:pos="720"/>
          <w:tab w:val="left" w:pos="5220"/>
        </w:tabs>
        <w:jc w:val="both"/>
        <w:rPr>
          <w:sz w:val="20"/>
        </w:rPr>
      </w:pPr>
      <w:r>
        <w:rPr>
          <w:sz w:val="20"/>
        </w:rPr>
        <w:t>Street Address for Express Mail:</w:t>
      </w:r>
      <w:r>
        <w:rPr>
          <w:sz w:val="20"/>
        </w:rPr>
        <w:tab/>
      </w:r>
    </w:p>
    <w:p w:rsidR="00000000" w:rsidRDefault="0027686A">
      <w:pPr>
        <w:keepNext/>
        <w:keepLines/>
        <w:tabs>
          <w:tab w:val="left" w:pos="-1440"/>
          <w:tab w:val="left" w:pos="-720"/>
          <w:tab w:val="left" w:pos="0"/>
          <w:tab w:val="left" w:pos="720"/>
          <w:tab w:val="left" w:pos="5220"/>
        </w:tabs>
        <w:jc w:val="both"/>
        <w:rPr>
          <w:sz w:val="20"/>
        </w:rPr>
      </w:pPr>
      <w:r>
        <w:rPr>
          <w:sz w:val="20"/>
        </w:rPr>
        <w:tab/>
      </w:r>
      <w:r>
        <w:rPr>
          <w:sz w:val="20"/>
        </w:rPr>
        <w:tab/>
        <w:t>Attorney for CenturyTel of the Gem State</w:t>
      </w:r>
    </w:p>
    <w:p w:rsidR="00000000" w:rsidRDefault="0027686A">
      <w:pPr>
        <w:keepNext/>
        <w:keepLines/>
        <w:tabs>
          <w:tab w:val="left" w:pos="-1440"/>
          <w:tab w:val="left" w:pos="-720"/>
          <w:tab w:val="left" w:pos="0"/>
          <w:tab w:val="left" w:pos="720"/>
          <w:tab w:val="left" w:pos="5220"/>
        </w:tabs>
        <w:jc w:val="both"/>
        <w:rPr>
          <w:sz w:val="20"/>
        </w:rPr>
      </w:pPr>
      <w:r>
        <w:rPr>
          <w:sz w:val="20"/>
        </w:rPr>
        <w:t>WASHINGTON ST</w:t>
      </w:r>
      <w:r>
        <w:rPr>
          <w:sz w:val="20"/>
        </w:rPr>
        <w:tab/>
      </w:r>
    </w:p>
    <w:p w:rsidR="00000000" w:rsidRDefault="0027686A">
      <w:pPr>
        <w:keepNext/>
        <w:keepLines/>
        <w:tabs>
          <w:tab w:val="left" w:pos="-1440"/>
          <w:tab w:val="left" w:pos="-720"/>
          <w:tab w:val="left" w:pos="0"/>
          <w:tab w:val="left" w:pos="720"/>
          <w:tab w:val="left" w:pos="5220"/>
        </w:tabs>
        <w:jc w:val="both"/>
        <w:rPr>
          <w:sz w:val="20"/>
        </w:rPr>
      </w:pPr>
      <w:r>
        <w:rPr>
          <w:sz w:val="20"/>
        </w:rPr>
        <w:t>BOISE, IDAHO  83702-5983</w:t>
      </w:r>
      <w:r>
        <w:rPr>
          <w:sz w:val="20"/>
        </w:rPr>
        <w:tab/>
      </w:r>
    </w:p>
    <w:p w:rsidR="00000000" w:rsidRDefault="0027686A">
      <w:pPr>
        <w:keepNext/>
        <w:keepLines/>
        <w:tabs>
          <w:tab w:val="left" w:pos="-1440"/>
          <w:tab w:val="left" w:pos="-720"/>
          <w:tab w:val="left" w:pos="0"/>
          <w:tab w:val="left" w:pos="720"/>
          <w:tab w:val="left" w:pos="5220"/>
        </w:tabs>
        <w:jc w:val="both"/>
        <w:rPr>
          <w:sz w:val="20"/>
        </w:rPr>
      </w:pPr>
      <w:r>
        <w:rPr>
          <w:sz w:val="20"/>
        </w:rPr>
        <w:tab/>
      </w:r>
      <w:r>
        <w:rPr>
          <w:sz w:val="20"/>
        </w:rPr>
        <w:tab/>
      </w:r>
    </w:p>
    <w:p w:rsidR="00000000" w:rsidRDefault="0027686A">
      <w:pPr>
        <w:keepLines/>
        <w:tabs>
          <w:tab w:val="left" w:pos="-1440"/>
          <w:tab w:val="left" w:pos="-720"/>
          <w:tab w:val="left" w:pos="0"/>
          <w:tab w:val="left" w:pos="720"/>
          <w:tab w:val="left" w:pos="5220"/>
        </w:tabs>
        <w:jc w:val="both"/>
        <w:rPr>
          <w:sz w:val="20"/>
        </w:rPr>
      </w:pPr>
    </w:p>
    <w:p w:rsidR="00000000" w:rsidRDefault="0027686A">
      <w:pPr>
        <w:tabs>
          <w:tab w:val="left" w:pos="-1080"/>
          <w:tab w:val="left" w:pos="-720"/>
          <w:tab w:val="left" w:pos="0"/>
          <w:tab w:val="left" w:pos="1080"/>
          <w:tab w:val="left" w:pos="5220"/>
        </w:tabs>
        <w:spacing w:line="360" w:lineRule="auto"/>
        <w:jc w:val="both"/>
      </w:pPr>
      <w:r>
        <w:t>T</w:t>
      </w:r>
      <w:r>
        <w:t>hese comments should contain the case caption and case number shown on the first page of this document.</w:t>
      </w:r>
    </w:p>
    <w:p w:rsidR="00000000" w:rsidRDefault="0027686A">
      <w:pPr>
        <w:tabs>
          <w:tab w:val="left" w:pos="-1080"/>
          <w:tab w:val="left" w:pos="-720"/>
          <w:tab w:val="left" w:pos="0"/>
          <w:tab w:val="left" w:pos="1080"/>
          <w:tab w:val="left" w:pos="5220"/>
        </w:tabs>
        <w:spacing w:line="360" w:lineRule="auto"/>
        <w:ind w:firstLine="1080"/>
        <w:jc w:val="both"/>
      </w:pPr>
      <w:r>
        <w:t xml:space="preserve">YOU ARE FURTHER NOTIFIED that if no written comments are received within the time limit set, the Commission will consider these matters on their merits </w:t>
      </w:r>
      <w:r>
        <w:t>and enter its Order without a formal hearing.  If written comments are received within the time limit set, the Commission will consider them and, in its discretion, may set the same for formal hearing.</w:t>
      </w:r>
    </w:p>
    <w:p w:rsidR="00000000" w:rsidRDefault="0027686A">
      <w:pPr>
        <w:pStyle w:val="BodyTextIndent3"/>
      </w:pPr>
      <w:r>
        <w:t>YOU ARE FURTHER NOTIFIED that the Petition together wi</w:t>
      </w:r>
      <w:r>
        <w:t>th supporting workpapers, testimonies and exhibits, have been filed with the Commission and are available for public inspection during regular business hours at the Commission offices.</w:t>
      </w:r>
    </w:p>
    <w:p w:rsidR="00000000" w:rsidRDefault="0027686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proceedings in this case will be held</w:t>
      </w:r>
      <w:r>
        <w:t xml:space="preserve"> pursuant to the Commission's jurisdiction under Title 61 of the Idaho Code and that the Commission may enter any final Order consistent with its authority under Title 61.</w:t>
      </w:r>
    </w:p>
    <w:p w:rsidR="00000000" w:rsidRDefault="0027686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rPr>
          <w:i/>
        </w:rPr>
      </w:pPr>
      <w:r>
        <w:t>YOU ARE FURTHER NOTIFIED that all proceedings in this matter will be conducted pursu</w:t>
      </w:r>
      <w:r>
        <w:t xml:space="preserve">ant to the Commission’s Rules of Procedure, IDAPA 31.01.01.000 </w:t>
      </w:r>
      <w:r>
        <w:rPr>
          <w:i/>
        </w:rPr>
        <w:t>et seq.</w:t>
      </w:r>
    </w:p>
    <w:p w:rsidR="00000000" w:rsidRDefault="0027686A">
      <w:pPr>
        <w:pStyle w:val="Heading1"/>
      </w:pPr>
      <w:r>
        <w:lastRenderedPageBreak/>
        <w:t>O R D E R</w:t>
      </w:r>
    </w:p>
    <w:p w:rsidR="00000000" w:rsidRDefault="0027686A">
      <w:pPr>
        <w:pStyle w:val="BodyTextIndent2"/>
        <w:tabs>
          <w:tab w:val="clear" w:pos="2160"/>
        </w:tabs>
        <w:spacing w:line="360" w:lineRule="auto"/>
        <w:ind w:left="0" w:firstLine="720"/>
      </w:pPr>
      <w:r>
        <w:t>IT IS HEREBY ORDERED, upon review of the filings in this case and the determination of the Commission, that the Petition of CenturyTel of the Gem State, Inc., for suspension o</w:t>
      </w:r>
      <w:r>
        <w:t>f its dialing parity obligations be processed by Modified Procedure, Commission Rules of Procedure 201-204; IDAPA 31.01.01.201-204.</w:t>
      </w:r>
    </w:p>
    <w:p w:rsidR="00000000" w:rsidRDefault="0027686A">
      <w:pPr>
        <w:pStyle w:val="BodyText"/>
        <w:tabs>
          <w:tab w:val="left" w:pos="8550"/>
        </w:tabs>
        <w:ind w:left="720"/>
      </w:pPr>
      <w:r>
        <w:tab/>
        <w:t xml:space="preserve">DONE by Order of the Idaho Public Utilities Commission at Boise, Idaho, this     </w:t>
      </w:r>
    </w:p>
    <w:p w:rsidR="00000000" w:rsidRDefault="0027686A">
      <w:pPr>
        <w:pStyle w:val="BodyText"/>
        <w:tabs>
          <w:tab w:val="left" w:pos="8550"/>
        </w:tabs>
      </w:pPr>
      <w:r>
        <w:t xml:space="preserve">       day of </w:t>
      </w:r>
      <w:r>
        <w:fldChar w:fldCharType="begin"/>
      </w:r>
      <w:r>
        <w:instrText xml:space="preserve"> TIME \@ "MMMM yyyy" </w:instrText>
      </w:r>
      <w:r>
        <w:fldChar w:fldCharType="separate"/>
      </w:r>
      <w:r>
        <w:rPr>
          <w:noProof/>
        </w:rPr>
        <w:t>March 2016</w:t>
      </w:r>
      <w:r>
        <w:fldChar w:fldCharType="end"/>
      </w:r>
      <w:r>
        <w:t>.</w:t>
      </w:r>
    </w:p>
    <w:p w:rsidR="00000000" w:rsidRDefault="0027686A">
      <w:pPr>
        <w:pStyle w:val="BodyText"/>
        <w:tabs>
          <w:tab w:val="left" w:pos="8550"/>
        </w:tabs>
      </w:pPr>
    </w:p>
    <w:p w:rsidR="00000000" w:rsidRDefault="0027686A">
      <w:pPr>
        <w:pStyle w:val="BodyText"/>
        <w:tabs>
          <w:tab w:val="left" w:pos="8550"/>
        </w:tabs>
      </w:pPr>
    </w:p>
    <w:p w:rsidR="00000000" w:rsidRDefault="0027686A">
      <w:pPr>
        <w:pStyle w:val="BodyText"/>
        <w:tabs>
          <w:tab w:val="left" w:pos="4320"/>
          <w:tab w:val="left" w:pos="8550"/>
          <w:tab w:val="left" w:pos="9274"/>
        </w:tabs>
        <w:spacing w:line="240" w:lineRule="auto"/>
        <w:rPr>
          <w:u w:val="single"/>
        </w:rPr>
      </w:pPr>
      <w:r>
        <w:tab/>
      </w:r>
      <w:r>
        <w:rPr>
          <w:u w:val="single"/>
        </w:rPr>
        <w:tab/>
      </w:r>
    </w:p>
    <w:p w:rsidR="00000000" w:rsidRDefault="0027686A">
      <w:pPr>
        <w:pStyle w:val="BodyText"/>
        <w:tabs>
          <w:tab w:val="left" w:pos="4320"/>
          <w:tab w:val="left" w:pos="8550"/>
          <w:tab w:val="left" w:pos="9274"/>
        </w:tabs>
        <w:spacing w:line="240" w:lineRule="auto"/>
      </w:pPr>
      <w:r>
        <w:tab/>
        <w:t>DENNIS S. HANSEN, PRESIDENT</w:t>
      </w: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rPr>
          <w:u w:val="single"/>
        </w:rPr>
      </w:pPr>
      <w:r>
        <w:tab/>
      </w:r>
      <w:r>
        <w:rPr>
          <w:u w:val="single"/>
        </w:rPr>
        <w:tab/>
      </w:r>
    </w:p>
    <w:p w:rsidR="00000000" w:rsidRDefault="0027686A">
      <w:pPr>
        <w:pStyle w:val="BodyText"/>
        <w:tabs>
          <w:tab w:val="left" w:pos="4320"/>
          <w:tab w:val="left" w:pos="8550"/>
          <w:tab w:val="left" w:pos="9274"/>
        </w:tabs>
        <w:spacing w:line="240" w:lineRule="auto"/>
      </w:pPr>
      <w:r>
        <w:tab/>
        <w:t>MARSHA H. SMITH, COMMISSIONER</w:t>
      </w: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rPr>
          <w:u w:val="single"/>
        </w:rPr>
      </w:pPr>
      <w:r>
        <w:tab/>
      </w:r>
      <w:r>
        <w:rPr>
          <w:u w:val="single"/>
        </w:rPr>
        <w:tab/>
      </w:r>
    </w:p>
    <w:p w:rsidR="00000000" w:rsidRDefault="0027686A">
      <w:pPr>
        <w:pStyle w:val="BodyText"/>
        <w:tabs>
          <w:tab w:val="left" w:pos="4320"/>
          <w:tab w:val="left" w:pos="8550"/>
          <w:tab w:val="left" w:pos="9274"/>
        </w:tabs>
        <w:spacing w:line="240" w:lineRule="auto"/>
      </w:pPr>
      <w:r>
        <w:tab/>
        <w:t>PAUL KJELLANDER, COMMISSIONER</w:t>
      </w: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r>
        <w:t>ATTEST:</w:t>
      </w: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4320"/>
          <w:tab w:val="left" w:pos="8550"/>
          <w:tab w:val="left" w:pos="9274"/>
        </w:tabs>
        <w:spacing w:line="240" w:lineRule="auto"/>
      </w:pPr>
    </w:p>
    <w:p w:rsidR="00000000" w:rsidRDefault="0027686A">
      <w:pPr>
        <w:pStyle w:val="BodyText"/>
        <w:tabs>
          <w:tab w:val="left" w:pos="3960"/>
          <w:tab w:val="left" w:pos="8550"/>
          <w:tab w:val="left" w:pos="9274"/>
        </w:tabs>
        <w:spacing w:line="240" w:lineRule="auto"/>
        <w:rPr>
          <w:u w:val="single"/>
        </w:rPr>
      </w:pPr>
      <w:r>
        <w:rPr>
          <w:u w:val="single"/>
        </w:rPr>
        <w:tab/>
      </w:r>
    </w:p>
    <w:p w:rsidR="00000000" w:rsidRDefault="0027686A">
      <w:pPr>
        <w:pStyle w:val="BodyText"/>
        <w:tabs>
          <w:tab w:val="left" w:pos="3960"/>
          <w:tab w:val="left" w:pos="8550"/>
          <w:tab w:val="left" w:pos="9274"/>
        </w:tabs>
        <w:spacing w:line="240" w:lineRule="auto"/>
      </w:pPr>
      <w:r>
        <w:t>Myrna J. Walters</w:t>
      </w:r>
    </w:p>
    <w:p w:rsidR="00000000" w:rsidRDefault="0027686A">
      <w:pPr>
        <w:pStyle w:val="BodyText"/>
        <w:tabs>
          <w:tab w:val="left" w:pos="3960"/>
          <w:tab w:val="left" w:pos="8550"/>
          <w:tab w:val="left" w:pos="9274"/>
        </w:tabs>
        <w:spacing w:line="240" w:lineRule="auto"/>
      </w:pPr>
      <w:r>
        <w:t>Commission Secretary</w:t>
      </w:r>
    </w:p>
    <w:p w:rsidR="00000000" w:rsidRDefault="0027686A">
      <w:pPr>
        <w:pStyle w:val="BodyTextIndent2"/>
        <w:tabs>
          <w:tab w:val="clear" w:pos="2160"/>
        </w:tabs>
        <w:spacing w:line="360" w:lineRule="auto"/>
        <w:rPr>
          <w:sz w:val="18"/>
        </w:rPr>
      </w:pPr>
    </w:p>
    <w:p w:rsidR="00000000" w:rsidRDefault="0027686A">
      <w:pPr>
        <w:pStyle w:val="BodyTextIndent2"/>
        <w:tabs>
          <w:tab w:val="clear" w:pos="2160"/>
        </w:tabs>
        <w:spacing w:line="360" w:lineRule="auto"/>
        <w:rPr>
          <w:sz w:val="18"/>
        </w:rPr>
      </w:pPr>
    </w:p>
    <w:p w:rsidR="00000000" w:rsidRDefault="0027686A">
      <w:pPr>
        <w:pStyle w:val="BodyTextIndent2"/>
        <w:tabs>
          <w:tab w:val="clear" w:pos="2160"/>
        </w:tabs>
        <w:spacing w:line="360" w:lineRule="auto"/>
        <w:ind w:left="0"/>
      </w:pPr>
      <w:r>
        <w:rPr>
          <w:sz w:val="18"/>
        </w:rPr>
        <w:t>O:cgst992_cc.doc</w:t>
      </w:r>
    </w:p>
    <w:p w:rsidR="00000000" w:rsidRDefault="0027686A">
      <w:pPr>
        <w:ind w:firstLine="720"/>
      </w:pPr>
    </w:p>
    <w:sectPr w:rsidR="00000000">
      <w:footerReference w:type="default" r:id="rId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686A">
      <w:r>
        <w:separator/>
      </w:r>
    </w:p>
  </w:endnote>
  <w:endnote w:type="continuationSeparator" w:id="0">
    <w:p w:rsidR="00000000" w:rsidRDefault="002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686A">
    <w:pPr>
      <w:pStyle w:val="Footer"/>
      <w:rPr>
        <w:sz w:val="20"/>
      </w:rPr>
    </w:pPr>
  </w:p>
  <w:p w:rsidR="00000000" w:rsidRDefault="0027686A">
    <w:pPr>
      <w:pStyle w:val="Footer"/>
      <w:rPr>
        <w:sz w:val="20"/>
      </w:rPr>
    </w:pPr>
    <w:r>
      <w:rPr>
        <w:sz w:val="20"/>
      </w:rPr>
      <w:t xml:space="preserve">NOTICE OF PETITION </w:t>
    </w:r>
  </w:p>
  <w:p w:rsidR="00000000" w:rsidRDefault="0027686A">
    <w:pPr>
      <w:pStyle w:val="Footer"/>
      <w:rPr>
        <w:sz w:val="20"/>
      </w:rPr>
    </w:pPr>
    <w:r>
      <w:rPr>
        <w:sz w:val="20"/>
      </w:rPr>
      <w:t>NOTICE OF MODIFIED PROCEDURE</w:t>
    </w:r>
  </w:p>
  <w:p w:rsidR="00000000" w:rsidRDefault="0027686A">
    <w:pPr>
      <w:pStyle w:val="Footer"/>
      <w:rPr>
        <w:sz w:val="20"/>
      </w:rPr>
    </w:pPr>
    <w:r>
      <w:rPr>
        <w:sz w:val="20"/>
      </w:rPr>
      <w:t>ORDER NO. 28030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000000" w:rsidRDefault="00276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686A">
      <w:r>
        <w:separator/>
      </w:r>
    </w:p>
  </w:footnote>
  <w:footnote w:type="continuationSeparator" w:id="0">
    <w:p w:rsidR="00000000" w:rsidRDefault="0027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94243"/>
    <w:multiLevelType w:val="singleLevel"/>
    <w:tmpl w:val="AD0649BE"/>
    <w:lvl w:ilvl="0">
      <w:start w:val="1"/>
      <w:numFmt w:val="lowerRoman"/>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6A"/>
    <w:rsid w:val="0027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B023DDD-8CE1-435B-9B2D-D19E4651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360" w:lineRule="auto"/>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080"/>
      </w:tabs>
      <w:spacing w:line="360" w:lineRule="auto"/>
      <w:ind w:firstLine="720"/>
      <w:jc w:val="both"/>
    </w:pPr>
  </w:style>
  <w:style w:type="paragraph" w:styleId="BodyTextIndent2">
    <w:name w:val="Body Text Indent 2"/>
    <w:basedOn w:val="Normal"/>
    <w:semiHidden/>
    <w:pPr>
      <w:widowControl w:val="0"/>
      <w:tabs>
        <w:tab w:val="left" w:pos="2160"/>
      </w:tabs>
      <w:ind w:left="2160"/>
      <w:jc w:val="both"/>
    </w:pPr>
    <w:rPr>
      <w:snapToGrid w:val="0"/>
    </w:rPr>
  </w:style>
  <w:style w:type="paragraph" w:styleId="BodyText">
    <w:name w:val="Body Text"/>
    <w:basedOn w:val="Normal"/>
    <w:semiHidden/>
    <w:pPr>
      <w:widowControl w:val="0"/>
      <w:spacing w:line="360" w:lineRule="auto"/>
      <w:jc w:val="both"/>
    </w:pPr>
    <w:rPr>
      <w:snapToGrid w:val="0"/>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1999-05-03T22:18:00Z</cp:lastPrinted>
  <dcterms:created xsi:type="dcterms:W3CDTF">2016-03-16T23:47:00Z</dcterms:created>
  <dcterms:modified xsi:type="dcterms:W3CDTF">2016-03-16T23:47:00Z</dcterms:modified>
</cp:coreProperties>
</file>