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January 28, 1998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Mary S.  Hobson, Esq.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Stoel Rives LLP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101 S Capitol Blvd, Suite 1900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  83702-5958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 Protective Agreement in Case No.  GNR-T-97-22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Mary: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Thank you for promptly preparing and providing a protective agreement for use in the cost model case, Case No. GNR-T-97-22.  I have signed the agreement and am returning the original to you, and  will have members of the Staff, probably Joe Cusick and Bill Eastlake, sign Exhibit A to the agree­ment.  I understand you will forward the agreement to Don Reading to obtain his signature.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Thank you.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B.  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WBS/vld:</w:t>
      </w:r>
      <w:r>
        <w:rPr>
          <w:color w:val="000000"/>
          <w:rFonts w:ascii="Times New Roman" w:hAnsi="Times New Roman"/>
          <w:sz w:val="16"/>
        </w:rPr>
        <w:t xml:space="preserve">L:Hob.ws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Enclosure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MARY S.  HOBSON, ESQ.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STOEL RIVES LLP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101 S CAPITOL BLVD, SUITE 1900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  83702-5958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