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</w:rPr>
        <w:t xml:space="preserve">BEFORE THE IDAHO PUBLIC UTILITIES COMMISSION</w:t>
      </w:r>
      <w:r>
        <w:rPr/>
      </w:r>
    </w:p>
    <w:p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</w:rPr>
              <w:t xml:space="preserve">IN THE MATTER OF THE  PETITION OF AT&amp;T COMMUNICATIONS OF THE MOUNTAIN STATES, INC. FOR INTRALATA EQUAL ACCESS AND CARRIER PRESUB-SCRIPTION IN THE SERVING TERRITORY OF U S WEST COMMUNICATIONS, INC.</w:t>
            </w:r>
            <w:r>
              <w:rPr/>
            </w:r>
          </w:p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)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CASE NO. GNR-T-94-5</w:t>
            </w:r>
            <w:r>
              <w:rPr/>
            </w:r>
          </w:p>
          <w:p>
            <w:r>
              <w:rPr/>
            </w:r>
          </w:p>
          <w:p>
            <w:r>
              <w:rPr/>
            </w:r>
          </w:p>
          <w:p>
            <w:r>
              <w:rPr>
                <w:color w:val="000000"/>
                <w:rFonts w:ascii="Times New Roman" w:hAnsi="Times New Roman"/>
                <w:sz w:val="24"/>
              </w:rPr>
              <w:t xml:space="preserve">NOTICE OF WITHDRAWAL OF MOTION TO DISMISS AND CLOSE CASE </w:t>
            </w:r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December 23, 1996, the Commission Staff filed a Motion to Dismiss and Close Case.  Pursuant to Commission Rule of Procedure 67, IDAPA 31.01.01.067, Staff files this Notice that it hereby withdraws its Motion to Dismiss and Close Case.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DATED at Boise, Idaho this day of February 1997.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B. Stutzman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cm\N:gnrt945.ws2</w:t>
      </w:r>
      <w:r>
        <w:rPr/>
      </w:r>
    </w:p>
    <w:p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