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REVIEW OF THE ONGOING FUNDING LEVELS FOR THE TELECOMMUNICATIONS RELAY SERVICES PROGRAM.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GNR-T-95-4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26541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October 16, 1995, the Commission issued Order No. 26194 establishing new funding levels for telecommunications relay services (TRS) in Idaho.  Throughout the Order the funding amounts are referred to as “surcharges”, which apparently has caused some confusion for telephone corporations required to make remittances to fund TRS.  For example, some companies have inferred from the Order that TRS payments should appear as a line-item surcharge on their customers’ monthly bills.</w:t>
      </w:r>
      <w:r>
        <w:rPr>
          <w:vertAlign w:val="baseline"/>
        </w:rPr>
      </w:r>
    </w:p>
    <w:p>
      <w:r>
        <w:rPr>
          <w:color w:val="000000"/>
          <w:rFonts w:ascii="Times New Roman" w:hAnsi="Times New Roman"/>
          <w:sz w:val="24"/>
          <w:vertAlign w:val="baseline"/>
        </w:rPr>
        <w:t xml:space="preserve">The Commission’s Rule of Procedure 326 allows the Commission on its own motion to amend a final Order after providing an appropriate opportunity to interested persons to be heard by evidentiary hearing or written submission.  On July 1, 1996, the Commission issued a Notice of Proposed Amendment to Order No. 26194, and established a 21-day period for interested parties to file comments regarding the proposed amendments to Order No. 26194.  Only GTE Northwest Incorporated filed comments.  After reviewing the comments filed by GTE, we find that Order No. 26194 should be amended to remove all references to “surcharges” in the Order.</w:t>
      </w:r>
      <w:r>
        <w:rPr>
          <w:vertAlign w:val="baseline"/>
        </w:rPr>
      </w:r>
    </w:p>
    <w:p>
      <w:r>
        <w:rPr>
          <w:color w:val="000000"/>
          <w:rFonts w:ascii="Times New Roman" w:hAnsi="Times New Roman"/>
          <w:sz w:val="24"/>
          <w:vertAlign w:val="baseline"/>
        </w:rPr>
        <w:t xml:space="preserve">The Commission in Order No. 24686, issued January 29, 1993 shortly after implementation of the TRS program, clearly enunciated its position regarding recovery of the TRS remittances by telephone corporations.  At page 3 of Order No. 24686, the Commission stated: “Because the TRS remittance is like any other expense, i.e., part of the cost of doing business, we find that it should not be a separate line item surcharge but should be included in rates.”  This finding is consistent with the language and legislative history of the TRS statutes, Idaho Code, Title 61, Chapter 13.  Accordingly, it is appropriate to amend Order No. 26194 to remove references of TRS remittances as surcharges.</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Order No. 26194 is amended to remove references of TRS remittances as surcharges and to reiterate the Commission’s position that TRS payments should not appear as line-item charges on customers’ monthly bills.  The proposed amendments are the following:</w:t>
      </w:r>
      <w:r>
        <w:rPr>
          <w:vertAlign w:val="baseline"/>
        </w:rPr>
      </w:r>
    </w:p>
    <w:p>
      <w:r>
        <w:rPr>
          <w:vertAlign w:val="baseline"/>
        </w:rPr>
      </w:r>
    </w:p>
    <w:p>
      <w:r>
        <w:rPr>
          <w:color w:val="000000"/>
          <w:rFonts w:ascii="Times New Roman" w:hAnsi="Times New Roman"/>
          <w:sz w:val="24"/>
          <w:vertAlign w:val="baseline"/>
        </w:rPr>
        <w:t xml:space="preserve">Page 1, Paragraph 1, Line 1, sentence reads:</w:t>
      </w:r>
      <w:r>
        <w:rPr>
          <w:vertAlign w:val="baseline"/>
        </w:rPr>
      </w:r>
    </w:p>
    <w:p>
      <w:r>
        <w:rPr>
          <w:color w:val="000000"/>
          <w:rFonts w:ascii="Times New Roman" w:hAnsi="Times New Roman"/>
          <w:sz w:val="24"/>
          <w:vertAlign w:val="baseline"/>
        </w:rPr>
        <w:t xml:space="preserve">“This Order increases the telecommunications relay services (TRS) </w:t>
      </w:r>
      <w:r>
        <w:rPr>
          <w:color w:val="000000"/>
          <w:rFonts w:ascii="Times New Roman" w:hAnsi="Times New Roman"/>
          <w:sz w:val="24"/>
          <w:vertAlign w:val="baseline"/>
        </w:rPr>
        <w:t xml:space="preserve">surcharge</w:t>
      </w:r>
      <w:r>
        <w:rPr>
          <w:color w:val="000000"/>
          <w:rFonts w:ascii="Times New Roman" w:hAnsi="Times New Roman"/>
          <w:sz w:val="24"/>
          <w:vertAlign w:val="baseline"/>
        </w:rPr>
        <w:t xml:space="preserve"> amount from $.01/month/access line (1¢/month/access line) . . .”</w:t>
      </w:r>
      <w:r>
        <w:rPr>
          <w:vertAlign w:val="baseline"/>
        </w:rPr>
      </w:r>
    </w:p>
    <w:p>
      <w:r>
        <w:rPr>
          <w:vertAlign w:val="baseline"/>
        </w:rPr>
      </w:r>
    </w:p>
    <w:p>
      <w:r>
        <w:rPr>
          <w:color w:val="000000"/>
          <w:rFonts w:ascii="Times New Roman" w:hAnsi="Times New Roman"/>
          <w:sz w:val="24"/>
          <w:vertAlign w:val="baseline"/>
        </w:rPr>
        <w:t xml:space="preserve">Amended to read:</w:t>
      </w:r>
      <w:r>
        <w:rPr>
          <w:vertAlign w:val="baseline"/>
        </w:rPr>
      </w:r>
    </w:p>
    <w:p>
      <w:r>
        <w:rPr>
          <w:vertAlign w:val="baseline"/>
        </w:rPr>
      </w:r>
    </w:p>
    <w:p>
      <w:r>
        <w:rPr>
          <w:color w:val="000000"/>
          <w:rFonts w:ascii="Times New Roman" w:hAnsi="Times New Roman"/>
          <w:sz w:val="24"/>
          <w:vertAlign w:val="baseline"/>
        </w:rPr>
        <w:t xml:space="preserve">“This Order increases the telecommunications relay services (TRS) </w:t>
      </w:r>
      <w:r>
        <w:rPr>
          <w:color w:val="000000"/>
          <w:rFonts w:ascii="Times New Roman" w:hAnsi="Times New Roman"/>
          <w:sz w:val="24"/>
          <w:vertAlign w:val="baseline"/>
        </w:rPr>
        <w:t xml:space="preserve">remittance</w:t>
      </w:r>
      <w:r>
        <w:rPr>
          <w:color w:val="000000"/>
          <w:rFonts w:ascii="Times New Roman" w:hAnsi="Times New Roman"/>
          <w:sz w:val="24"/>
          <w:vertAlign w:val="baseline"/>
        </w:rPr>
        <w:t xml:space="preserve"> amount from $.01/month/access line (1¢/month/access line) . . .”</w:t>
      </w:r>
      <w:r>
        <w:rPr>
          <w:vertAlign w:val="baseline"/>
        </w:rPr>
      </w:r>
    </w:p>
    <w:p>
      <w:r>
        <w:rPr>
          <w:vertAlign w:val="baseline"/>
        </w:rPr>
      </w:r>
    </w:p>
    <w:p>
      <w:r>
        <w:rPr>
          <w:color w:val="000000"/>
          <w:rFonts w:ascii="Times New Roman" w:hAnsi="Times New Roman"/>
          <w:sz w:val="24"/>
          <w:vertAlign w:val="baseline"/>
        </w:rPr>
        <w:t xml:space="preserve">Page 1, Paragraph 1, Line 4, sentence reads:</w:t>
      </w:r>
      <w:r>
        <w:rPr>
          <w:vertAlign w:val="baseline"/>
        </w:rPr>
      </w:r>
    </w:p>
    <w:p>
      <w:r>
        <w:rPr>
          <w:vertAlign w:val="baseline"/>
        </w:rPr>
      </w:r>
    </w:p>
    <w:p>
      <w:r>
        <w:rPr>
          <w:color w:val="000000"/>
          <w:rFonts w:ascii="Times New Roman" w:hAnsi="Times New Roman"/>
          <w:sz w:val="24"/>
          <w:vertAlign w:val="baseline"/>
        </w:rPr>
        <w:t xml:space="preserve">“. . .It further increases the </w:t>
      </w:r>
      <w:r>
        <w:rPr>
          <w:color w:val="000000"/>
          <w:rFonts w:ascii="Times New Roman" w:hAnsi="Times New Roman"/>
          <w:sz w:val="24"/>
          <w:vertAlign w:val="baseline"/>
        </w:rPr>
        <w:t xml:space="preserve">surcharge</w:t>
      </w:r>
      <w:r>
        <w:rPr>
          <w:color w:val="000000"/>
          <w:rFonts w:ascii="Times New Roman" w:hAnsi="Times New Roman"/>
          <w:sz w:val="24"/>
          <w:vertAlign w:val="baseline"/>
        </w:rPr>
        <w:t xml:space="preserve"> of $.0002/intrastate billed minute . . .”</w:t>
      </w:r>
      <w:r>
        <w:rPr>
          <w:vertAlign w:val="baseline"/>
        </w:rPr>
      </w:r>
    </w:p>
    <w:p>
      <w:r>
        <w:rPr>
          <w:vertAlign w:val="baseline"/>
        </w:rPr>
      </w:r>
    </w:p>
    <w:p>
      <w:r>
        <w:rPr>
          <w:color w:val="000000"/>
          <w:rFonts w:ascii="Times New Roman" w:hAnsi="Times New Roman"/>
          <w:sz w:val="24"/>
          <w:vertAlign w:val="baseline"/>
        </w:rPr>
        <w:t xml:space="preserve">Amended to read:</w:t>
      </w:r>
      <w:r>
        <w:rPr>
          <w:vertAlign w:val="baseline"/>
        </w:rPr>
      </w:r>
    </w:p>
    <w:p>
      <w:r>
        <w:rPr>
          <w:vertAlign w:val="baseline"/>
        </w:rPr>
      </w:r>
    </w:p>
    <w:p>
      <w:r>
        <w:rPr>
          <w:color w:val="000000"/>
          <w:rFonts w:ascii="Times New Roman" w:hAnsi="Times New Roman"/>
          <w:sz w:val="24"/>
          <w:vertAlign w:val="baseline"/>
        </w:rPr>
        <w:t xml:space="preserve">“. . .It further increases the </w:t>
      </w:r>
      <w:r>
        <w:rPr>
          <w:color w:val="000000"/>
          <w:rFonts w:ascii="Times New Roman" w:hAnsi="Times New Roman"/>
          <w:sz w:val="24"/>
          <w:vertAlign w:val="baseline"/>
        </w:rPr>
        <w:t xml:space="preserve">amount</w:t>
      </w:r>
      <w:r>
        <w:rPr>
          <w:color w:val="000000"/>
          <w:rFonts w:ascii="Times New Roman" w:hAnsi="Times New Roman"/>
          <w:sz w:val="24"/>
          <w:vertAlign w:val="baseline"/>
        </w:rPr>
        <w:t xml:space="preserve"> of $.0002/intrastate billed minute . .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Page 1, Background Section, Paragraph 3, Line 7, sentence reads:</w:t>
      </w:r>
      <w:r>
        <w:rPr>
          <w:vertAlign w:val="baseline"/>
        </w:rPr>
      </w:r>
    </w:p>
    <w:p>
      <w:r>
        <w:rPr>
          <w:color w:val="000000"/>
          <w:rFonts w:ascii="Times New Roman" w:hAnsi="Times New Roman"/>
          <w:sz w:val="24"/>
          <w:vertAlign w:val="baseline"/>
        </w:rPr>
        <w:t xml:space="preserve">“. . . The </w:t>
      </w:r>
      <w:r>
        <w:rPr>
          <w:color w:val="000000"/>
          <w:rFonts w:ascii="Times New Roman" w:hAnsi="Times New Roman"/>
          <w:sz w:val="24"/>
          <w:vertAlign w:val="baseline"/>
        </w:rPr>
        <w:t xml:space="preserve">surcharges</w:t>
      </w:r>
      <w:r>
        <w:rPr>
          <w:color w:val="000000"/>
          <w:rFonts w:ascii="Times New Roman" w:hAnsi="Times New Roman"/>
          <w:sz w:val="24"/>
          <w:vertAlign w:val="baseline"/>
        </w:rPr>
        <w:t xml:space="preserve"> were based upon a . . .”</w:t>
      </w:r>
      <w:r>
        <w:rPr>
          <w:vertAlign w:val="baseline"/>
        </w:rPr>
      </w:r>
    </w:p>
    <w:p>
      <w:r>
        <w:rPr>
          <w:color w:val="000000"/>
          <w:rFonts w:ascii="Times New Roman" w:hAnsi="Times New Roman"/>
          <w:sz w:val="24"/>
          <w:vertAlign w:val="baseline"/>
        </w:rPr>
        <w:t xml:space="preserve">Amended to read:</w:t>
      </w:r>
      <w:r>
        <w:rPr>
          <w:vertAlign w:val="baseline"/>
        </w:rPr>
      </w:r>
    </w:p>
    <w:p>
      <w:r>
        <w:rPr>
          <w:color w:val="000000"/>
          <w:rFonts w:ascii="Times New Roman" w:hAnsi="Times New Roman"/>
          <w:sz w:val="24"/>
          <w:vertAlign w:val="baseline"/>
        </w:rPr>
        <w:t xml:space="preserve">“. . . </w:t>
      </w:r>
      <w:r>
        <w:rPr>
          <w:color w:val="000000"/>
          <w:rFonts w:ascii="Times New Roman" w:hAnsi="Times New Roman"/>
          <w:sz w:val="24"/>
          <w:vertAlign w:val="baseline"/>
        </w:rPr>
        <w:t xml:space="preserve">These amounts</w:t>
      </w:r>
      <w:r>
        <w:rPr>
          <w:color w:val="000000"/>
          <w:rFonts w:ascii="Times New Roman" w:hAnsi="Times New Roman"/>
          <w:sz w:val="24"/>
          <w:vertAlign w:val="baseline"/>
        </w:rPr>
        <w:t xml:space="preserve"> were based upon a . . .”</w:t>
      </w:r>
      <w:r>
        <w:rPr>
          <w:vertAlign w:val="baseline"/>
        </w:rPr>
      </w:r>
    </w:p>
    <w:p>
      <w:r>
        <w:rPr>
          <w:vertAlign w:val="baseline"/>
        </w:rPr>
      </w:r>
    </w:p>
    <w:p>
      <w:r>
        <w:rPr>
          <w:color w:val="000000"/>
          <w:rFonts w:ascii="Times New Roman" w:hAnsi="Times New Roman"/>
          <w:sz w:val="24"/>
          <w:vertAlign w:val="baseline"/>
        </w:rPr>
        <w:t xml:space="preserve">Page 2, Paragraph 1, Line 10, sentence reads:</w:t>
      </w:r>
      <w:r>
        <w:rPr>
          <w:vertAlign w:val="baseline"/>
        </w:rPr>
      </w:r>
    </w:p>
    <w:p>
      <w:r>
        <w:rPr>
          <w:color w:val="000000"/>
          <w:rFonts w:ascii="Times New Roman" w:hAnsi="Times New Roman"/>
          <w:sz w:val="24"/>
          <w:vertAlign w:val="baseline"/>
        </w:rPr>
        <w:t xml:space="preserve">“. . . No. 25025, further reducing the </w:t>
      </w:r>
      <w:r>
        <w:rPr>
          <w:color w:val="000000"/>
          <w:rFonts w:ascii="Times New Roman" w:hAnsi="Times New Roman"/>
          <w:sz w:val="24"/>
          <w:vertAlign w:val="baseline"/>
        </w:rPr>
        <w:t xml:space="preserve">surcharge</w:t>
      </w:r>
      <w:r>
        <w:rPr>
          <w:color w:val="000000"/>
          <w:rFonts w:ascii="Times New Roman" w:hAnsi="Times New Roman"/>
          <w:sz w:val="24"/>
          <w:vertAlign w:val="baseline"/>
        </w:rPr>
        <w:t xml:space="preserve"> rates effective August 1, 1993 to draw down the . . .”</w:t>
      </w:r>
      <w:r>
        <w:rPr>
          <w:vertAlign w:val="baseline"/>
        </w:rPr>
      </w:r>
    </w:p>
    <w:p>
      <w:r>
        <w:rPr>
          <w:vertAlign w:val="baseline"/>
        </w:rPr>
      </w:r>
    </w:p>
    <w:p>
      <w:r>
        <w:rPr>
          <w:color w:val="000000"/>
          <w:rFonts w:ascii="Times New Roman" w:hAnsi="Times New Roman"/>
          <w:sz w:val="24"/>
          <w:vertAlign w:val="baseline"/>
        </w:rPr>
        <w:t xml:space="preserve">Amended to read:</w:t>
      </w:r>
      <w:r>
        <w:rPr>
          <w:vertAlign w:val="baseline"/>
        </w:rPr>
      </w:r>
    </w:p>
    <w:p>
      <w:r>
        <w:rPr>
          <w:color w:val="000000"/>
          <w:rFonts w:ascii="Times New Roman" w:hAnsi="Times New Roman"/>
          <w:sz w:val="24"/>
          <w:vertAlign w:val="baseline"/>
        </w:rPr>
        <w:t xml:space="preserve">“. . . No. 25025, further reducing the rates effective August 1, 1993 to draw down the  . . .”</w:t>
      </w:r>
      <w:r>
        <w:rPr>
          <w:vertAlign w:val="baseline"/>
        </w:rPr>
      </w:r>
    </w:p>
    <w:p>
      <w:r>
        <w:rPr>
          <w:vertAlign w:val="baseline"/>
        </w:rPr>
      </w:r>
    </w:p>
    <w:p>
      <w:r>
        <w:rPr>
          <w:color w:val="000000"/>
          <w:rFonts w:ascii="Times New Roman" w:hAnsi="Times New Roman"/>
          <w:sz w:val="24"/>
          <w:vertAlign w:val="baseline"/>
        </w:rPr>
        <w:t xml:space="preserve">Page 2, The Commission’s Decision Section, Paragraph 1, Line 4, sentence reads:</w:t>
      </w:r>
      <w:r>
        <w:rPr>
          <w:vertAlign w:val="baseline"/>
        </w:rPr>
      </w:r>
    </w:p>
    <w:p>
      <w:r>
        <w:rPr>
          <w:color w:val="000000"/>
          <w:rFonts w:ascii="Times New Roman" w:hAnsi="Times New Roman"/>
          <w:sz w:val="24"/>
          <w:vertAlign w:val="baseline"/>
        </w:rPr>
        <w:t xml:space="preserve">“. . . The annual report recommended increases in the </w:t>
      </w:r>
      <w:r>
        <w:rPr>
          <w:color w:val="000000"/>
          <w:rFonts w:ascii="Times New Roman" w:hAnsi="Times New Roman"/>
          <w:sz w:val="24"/>
          <w:vertAlign w:val="baseline"/>
        </w:rPr>
        <w:t xml:space="preserve">surcharge</w:t>
      </w:r>
      <w:r>
        <w:rPr>
          <w:color w:val="000000"/>
          <w:rFonts w:ascii="Times New Roman" w:hAnsi="Times New Roman"/>
          <w:sz w:val="24"/>
          <w:vertAlign w:val="baseline"/>
        </w:rPr>
        <w:t xml:space="preserve"> amounts in the fourth . . .”</w:t>
      </w:r>
      <w:r>
        <w:rPr>
          <w:vertAlign w:val="baseline"/>
        </w:rPr>
      </w:r>
    </w:p>
    <w:p>
      <w:r>
        <w:rPr>
          <w:vertAlign w:val="baseline"/>
        </w:rPr>
      </w:r>
    </w:p>
    <w:p>
      <w:r>
        <w:rPr>
          <w:color w:val="000000"/>
          <w:rFonts w:ascii="Times New Roman" w:hAnsi="Times New Roman"/>
          <w:sz w:val="24"/>
          <w:vertAlign w:val="baseline"/>
        </w:rPr>
        <w:t xml:space="preserve">Amended to read:</w:t>
      </w:r>
      <w:r>
        <w:rPr>
          <w:vertAlign w:val="baseline"/>
        </w:rPr>
      </w:r>
    </w:p>
    <w:p>
      <w:r>
        <w:rPr>
          <w:color w:val="000000"/>
          <w:rFonts w:ascii="Times New Roman" w:hAnsi="Times New Roman"/>
          <w:sz w:val="24"/>
          <w:vertAlign w:val="baseline"/>
        </w:rPr>
        <w:t xml:space="preserve">“. . . The annual report recommended increases in the </w:t>
      </w:r>
      <w:r>
        <w:rPr>
          <w:color w:val="000000"/>
          <w:rFonts w:ascii="Times New Roman" w:hAnsi="Times New Roman"/>
          <w:sz w:val="24"/>
          <w:vertAlign w:val="baseline"/>
        </w:rPr>
        <w:t xml:space="preserve">funding</w:t>
      </w:r>
      <w:r>
        <w:rPr>
          <w:color w:val="000000"/>
          <w:rFonts w:ascii="Times New Roman" w:hAnsi="Times New Roman"/>
          <w:sz w:val="24"/>
          <w:vertAlign w:val="baseline"/>
        </w:rPr>
        <w:t xml:space="preserve"> amounts in the fourth    . . .”</w:t>
      </w:r>
      <w:r>
        <w:rPr>
          <w:vertAlign w:val="baseline"/>
        </w:rPr>
      </w:r>
    </w:p>
    <w:p>
      <w:r>
        <w:rPr>
          <w:vertAlign w:val="baseline"/>
        </w:rPr>
      </w:r>
    </w:p>
    <w:p>
      <w:r>
        <w:rPr>
          <w:color w:val="000000"/>
          <w:rFonts w:ascii="Times New Roman" w:hAnsi="Times New Roman"/>
          <w:sz w:val="24"/>
          <w:vertAlign w:val="baseline"/>
        </w:rPr>
        <w:t xml:space="preserve">Page 2, Paragraph 1, Line 6, sentence reads:</w:t>
      </w:r>
      <w:r>
        <w:rPr>
          <w:vertAlign w:val="baseline"/>
        </w:rPr>
      </w:r>
    </w:p>
    <w:p>
      <w:r>
        <w:rPr>
          <w:color w:val="000000"/>
          <w:rFonts w:ascii="Times New Roman" w:hAnsi="Times New Roman"/>
          <w:sz w:val="24"/>
          <w:vertAlign w:val="baseline"/>
        </w:rPr>
        <w:t xml:space="preserve">“. . . Staff recommends increasing the </w:t>
      </w:r>
      <w:r>
        <w:rPr>
          <w:color w:val="000000"/>
          <w:rFonts w:ascii="Times New Roman" w:hAnsi="Times New Roman"/>
          <w:sz w:val="24"/>
          <w:vertAlign w:val="baseline"/>
        </w:rPr>
        <w:t xml:space="preserve">surcharge</w:t>
      </w:r>
      <w:r>
        <w:rPr>
          <w:color w:val="000000"/>
          <w:rFonts w:ascii="Times New Roman" w:hAnsi="Times New Roman"/>
          <w:sz w:val="24"/>
          <w:vertAlign w:val="baseline"/>
        </w:rPr>
        <w:t xml:space="preserve"> to . . .”</w:t>
      </w:r>
      <w:r>
        <w:rPr>
          <w:vertAlign w:val="baseline"/>
        </w:rPr>
      </w:r>
    </w:p>
    <w:p>
      <w:r>
        <w:rPr>
          <w:color w:val="000000"/>
          <w:rFonts w:ascii="Times New Roman" w:hAnsi="Times New Roman"/>
          <w:sz w:val="24"/>
          <w:vertAlign w:val="baseline"/>
        </w:rPr>
        <w:t xml:space="preserve">Amended to read:</w:t>
      </w:r>
      <w:r>
        <w:rPr>
          <w:vertAlign w:val="baseline"/>
        </w:rPr>
      </w:r>
    </w:p>
    <w:p>
      <w:r>
        <w:rPr>
          <w:color w:val="000000"/>
          <w:rFonts w:ascii="Times New Roman" w:hAnsi="Times New Roman"/>
          <w:sz w:val="24"/>
          <w:vertAlign w:val="baseline"/>
        </w:rPr>
        <w:t xml:space="preserve">“. . . Staff recommends increasing the </w:t>
      </w:r>
      <w:r>
        <w:rPr>
          <w:color w:val="000000"/>
          <w:rFonts w:ascii="Times New Roman" w:hAnsi="Times New Roman"/>
          <w:sz w:val="24"/>
          <w:vertAlign w:val="baseline"/>
        </w:rPr>
        <w:t xml:space="preserve">funding levels</w:t>
      </w:r>
      <w:r>
        <w:rPr>
          <w:color w:val="000000"/>
          <w:rFonts w:ascii="Times New Roman" w:hAnsi="Times New Roman"/>
          <w:sz w:val="24"/>
          <w:vertAlign w:val="baseline"/>
        </w:rPr>
        <w:t xml:space="preserve"> to . . .”</w:t>
      </w:r>
      <w:r>
        <w:rPr>
          <w:vertAlign w:val="baseline"/>
        </w:rPr>
      </w:r>
    </w:p>
    <w:p>
      <w:r>
        <w:rPr>
          <w:vertAlign w:val="baseline"/>
        </w:rPr>
      </w:r>
    </w:p>
    <w:p>
      <w:r>
        <w:rPr>
          <w:color w:val="000000"/>
          <w:rFonts w:ascii="Times New Roman" w:hAnsi="Times New Roman"/>
          <w:sz w:val="24"/>
          <w:vertAlign w:val="baseline"/>
        </w:rPr>
        <w:t xml:space="preserve">Page 2, Paragraph 2, Line 2, sentence reads:</w:t>
      </w:r>
      <w:r>
        <w:rPr>
          <w:vertAlign w:val="baseline"/>
        </w:rPr>
      </w:r>
    </w:p>
    <w:p>
      <w:r>
        <w:rPr>
          <w:color w:val="000000"/>
          <w:rFonts w:ascii="Times New Roman" w:hAnsi="Times New Roman"/>
          <w:sz w:val="24"/>
          <w:vertAlign w:val="baseline"/>
        </w:rPr>
        <w:t xml:space="preserve">“. . . We must now set the </w:t>
      </w:r>
      <w:r>
        <w:rPr>
          <w:color w:val="000000"/>
          <w:rFonts w:ascii="Times New Roman" w:hAnsi="Times New Roman"/>
          <w:sz w:val="24"/>
          <w:vertAlign w:val="baseline"/>
        </w:rPr>
        <w:t xml:space="preserve">surcharges</w:t>
      </w:r>
      <w:r>
        <w:rPr>
          <w:color w:val="000000"/>
          <w:rFonts w:ascii="Times New Roman" w:hAnsi="Times New Roman"/>
          <w:sz w:val="24"/>
          <w:vertAlign w:val="baseline"/>
        </w:rPr>
        <w:t xml:space="preserve"> at levels that will be sufficient for the operation of . . .”</w:t>
      </w:r>
      <w:r>
        <w:rPr>
          <w:vertAlign w:val="baseline"/>
        </w:rPr>
      </w:r>
    </w:p>
    <w:p>
      <w:r>
        <w:rPr>
          <w:vertAlign w:val="baseline"/>
        </w:rPr>
      </w:r>
    </w:p>
    <w:p>
      <w:r>
        <w:rPr>
          <w:color w:val="000000"/>
          <w:rFonts w:ascii="Times New Roman" w:hAnsi="Times New Roman"/>
          <w:sz w:val="24"/>
          <w:vertAlign w:val="baseline"/>
        </w:rPr>
        <w:t xml:space="preserve">Amended to read:</w:t>
      </w:r>
      <w:r>
        <w:rPr>
          <w:vertAlign w:val="baseline"/>
        </w:rPr>
      </w:r>
    </w:p>
    <w:p>
      <w:r>
        <w:rPr>
          <w:color w:val="000000"/>
          <w:rFonts w:ascii="Times New Roman" w:hAnsi="Times New Roman"/>
          <w:sz w:val="24"/>
          <w:vertAlign w:val="baseline"/>
        </w:rPr>
        <w:t xml:space="preserve">“. . . We must now set the </w:t>
      </w:r>
      <w:r>
        <w:rPr>
          <w:color w:val="000000"/>
          <w:rFonts w:ascii="Times New Roman" w:hAnsi="Times New Roman"/>
          <w:sz w:val="24"/>
          <w:vertAlign w:val="baseline"/>
        </w:rPr>
        <w:t xml:space="preserve">funding</w:t>
      </w:r>
      <w:r>
        <w:rPr>
          <w:color w:val="000000"/>
          <w:rFonts w:ascii="Times New Roman" w:hAnsi="Times New Roman"/>
          <w:sz w:val="24"/>
          <w:vertAlign w:val="baseline"/>
        </w:rPr>
        <w:t xml:space="preserve"> at levels that will be sufficient for the operation of   . . .”</w:t>
      </w:r>
      <w:r>
        <w:rPr>
          <w:vertAlign w:val="baseline"/>
        </w:rPr>
      </w:r>
    </w:p>
    <w:p>
      <w:r>
        <w:rPr>
          <w:vertAlign w:val="baseline"/>
        </w:rPr>
      </w:r>
    </w:p>
    <w:p>
      <w:r>
        <w:rPr>
          <w:color w:val="000000"/>
          <w:rFonts w:ascii="Times New Roman" w:hAnsi="Times New Roman"/>
          <w:sz w:val="24"/>
          <w:vertAlign w:val="baseline"/>
        </w:rPr>
        <w:t xml:space="preserve">Page 2, Paragraph 2, Lines 7 and 8, sentences read:</w:t>
      </w:r>
      <w:r>
        <w:rPr>
          <w:vertAlign w:val="baseline"/>
        </w:rPr>
      </w:r>
    </w:p>
    <w:p>
      <w:r>
        <w:rPr>
          <w:color w:val="000000"/>
          <w:rFonts w:ascii="Times New Roman" w:hAnsi="Times New Roman"/>
          <w:sz w:val="24"/>
          <w:vertAlign w:val="baseline"/>
        </w:rPr>
        <w:t xml:space="preserve">“. . . Growth is expected to continue and the s</w:t>
      </w:r>
      <w:r>
        <w:rPr>
          <w:color w:val="000000"/>
          <w:rFonts w:ascii="Times New Roman" w:hAnsi="Times New Roman"/>
          <w:sz w:val="24"/>
          <w:vertAlign w:val="baseline"/>
        </w:rPr>
        <w:t xml:space="preserve">urcharge</w:t>
      </w:r>
      <w:r>
        <w:rPr>
          <w:color w:val="000000"/>
          <w:rFonts w:ascii="Times New Roman" w:hAnsi="Times New Roman"/>
          <w:sz w:val="24"/>
          <w:vertAlign w:val="baseline"/>
        </w:rPr>
        <w:t xml:space="preserve"> levels recommended by the Staff have taken that into account.  We find the Staff recommended </w:t>
      </w:r>
      <w:r>
        <w:rPr>
          <w:color w:val="000000"/>
          <w:rFonts w:ascii="Times New Roman" w:hAnsi="Times New Roman"/>
          <w:sz w:val="24"/>
          <w:vertAlign w:val="baseline"/>
        </w:rPr>
        <w:t xml:space="preserve">surcharge</w:t>
      </w:r>
      <w:r>
        <w:rPr>
          <w:color w:val="000000"/>
          <w:rFonts w:ascii="Times New Roman" w:hAnsi="Times New Roman"/>
          <w:sz w:val="24"/>
          <w:vertAlign w:val="baseline"/>
        </w:rPr>
        <w:t xml:space="preserve"> amounts to be just, reasonable . . .”</w:t>
      </w:r>
      <w:r>
        <w:rPr>
          <w:vertAlign w:val="baseline"/>
        </w:rPr>
      </w:r>
    </w:p>
    <w:p>
      <w:r>
        <w:rPr>
          <w:vertAlign w:val="baseline"/>
        </w:rPr>
      </w:r>
    </w:p>
    <w:p>
      <w:r>
        <w:rPr>
          <w:color w:val="000000"/>
          <w:rFonts w:ascii="Times New Roman" w:hAnsi="Times New Roman"/>
          <w:sz w:val="24"/>
          <w:vertAlign w:val="baseline"/>
        </w:rPr>
        <w:t xml:space="preserve">Amended to read:</w:t>
      </w:r>
      <w:r>
        <w:rPr>
          <w:vertAlign w:val="baseline"/>
        </w:rPr>
      </w:r>
    </w:p>
    <w:p>
      <w:r>
        <w:rPr>
          <w:color w:val="000000"/>
          <w:rFonts w:ascii="Times New Roman" w:hAnsi="Times New Roman"/>
          <w:sz w:val="24"/>
          <w:vertAlign w:val="baseline"/>
        </w:rPr>
        <w:t xml:space="preserve">“. . . Growth is expected to continue and the </w:t>
      </w:r>
      <w:r>
        <w:rPr>
          <w:color w:val="000000"/>
          <w:rFonts w:ascii="Times New Roman" w:hAnsi="Times New Roman"/>
          <w:sz w:val="24"/>
          <w:vertAlign w:val="baseline"/>
        </w:rPr>
        <w:t xml:space="preserve">funding levels </w:t>
      </w:r>
      <w:r>
        <w:rPr>
          <w:color w:val="000000"/>
          <w:rFonts w:ascii="Times New Roman" w:hAnsi="Times New Roman"/>
          <w:sz w:val="24"/>
          <w:vertAlign w:val="baseline"/>
        </w:rPr>
        <w:t xml:space="preserve">recommended by the Staff have taken into account.  We find the Staff recommended </w:t>
      </w:r>
      <w:r>
        <w:rPr>
          <w:color w:val="000000"/>
          <w:rFonts w:ascii="Times New Roman" w:hAnsi="Times New Roman"/>
          <w:sz w:val="24"/>
          <w:vertAlign w:val="baseline"/>
        </w:rPr>
        <w:t xml:space="preserve">funding</w:t>
      </w:r>
      <w:r>
        <w:rPr>
          <w:color w:val="000000"/>
          <w:rFonts w:ascii="Times New Roman" w:hAnsi="Times New Roman"/>
          <w:sz w:val="24"/>
          <w:vertAlign w:val="baseline"/>
        </w:rPr>
        <w:t xml:space="preserve"> amounts to be just, reasonable . . .”</w:t>
      </w:r>
      <w:r>
        <w:rPr>
          <w:vertAlign w:val="baseline"/>
        </w:rPr>
      </w:r>
    </w:p>
    <w:p>
      <w:r>
        <w:rPr>
          <w:vertAlign w:val="baseline"/>
        </w:rPr>
      </w:r>
    </w:p>
    <w:p>
      <w:r>
        <w:rPr>
          <w:color w:val="000000"/>
          <w:rFonts w:ascii="NewCenturySchlbk" w:hAnsi="NewCenturySchlbk"/>
          <w:sz w:val="24"/>
          <w:vertAlign w:val="baseline"/>
        </w:rPr>
        <w:t xml:space="preserve">The Amended Order No. 26194 is attached to this Order as Exhibit A.</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July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bls/O-gnrt954.ws2</w:t>
      </w:r>
      <w:r>
        <w:rPr>
          <w:vertAlign w:val="baseline"/>
        </w:rPr>
      </w:r>
    </w:p>
    <w:p>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