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color w:val="000000"/>
          <w:rFonts w:ascii="Times New Roman" w:hAnsi="Times New Roman"/>
          <w:sz w:val="24"/>
        </w:rPr>
        <w:t xml:space="preserve">June 4, 1998</w:t>
      </w:r>
      <w:r>
        <w:rPr/>
      </w:r>
    </w:p>
    <w:p>
      <w:r>
        <w:rPr/>
      </w:r>
    </w:p>
    <w:p>
      <w:r>
        <w:rPr/>
      </w:r>
    </w:p>
    <w:p>
      <w:r>
        <w:rPr>
          <w:color w:val="000000"/>
          <w:rFonts w:ascii="Times New Roman" w:hAnsi="Times New Roman"/>
          <w:sz w:val="24"/>
        </w:rPr>
        <w:t xml:space="preserve">Jackie Riley</w:t>
      </w:r>
      <w:r>
        <w:rPr/>
      </w:r>
    </w:p>
    <w:p>
      <w:r>
        <w:rPr>
          <w:color w:val="000000"/>
          <w:rFonts w:ascii="Times New Roman" w:hAnsi="Times New Roman"/>
          <w:sz w:val="24"/>
        </w:rPr>
        <w:t xml:space="preserve">PO Box 806</w:t>
      </w:r>
      <w:r>
        <w:rPr/>
      </w:r>
    </w:p>
    <w:p>
      <w:r>
        <w:rPr>
          <w:color w:val="000000"/>
          <w:rFonts w:ascii="Times New Roman" w:hAnsi="Times New Roman"/>
          <w:sz w:val="24"/>
        </w:rPr>
        <w:t xml:space="preserve">Driggs, ID 83422</w:t>
      </w:r>
      <w:r>
        <w:rPr/>
      </w:r>
    </w:p>
    <w:p>
      <w:r>
        <w:rPr/>
      </w:r>
    </w:p>
    <w:p>
      <w:r>
        <w:rPr>
          <w:color w:val="000000"/>
          <w:rFonts w:ascii="Times New Roman" w:hAnsi="Times New Roman"/>
          <w:sz w:val="24"/>
        </w:rPr>
        <w:t xml:space="preserve">RE:  Your Request for Information</w:t>
      </w:r>
      <w:r>
        <w:rPr/>
      </w:r>
    </w:p>
    <w:p>
      <w:r>
        <w:rPr/>
      </w:r>
    </w:p>
    <w:p>
      <w:r>
        <w:rPr>
          <w:color w:val="000000"/>
          <w:rFonts w:ascii="Times New Roman" w:hAnsi="Times New Roman"/>
          <w:sz w:val="24"/>
        </w:rPr>
        <w:t xml:space="preserve">Dear Ms. Riley:</w:t>
      </w:r>
      <w:r>
        <w:rPr/>
      </w:r>
    </w:p>
    <w:p>
      <w:r>
        <w:rPr/>
      </w:r>
    </w:p>
    <w:p>
      <w:r>
        <w:rPr>
          <w:color w:val="000000"/>
          <w:rFonts w:ascii="Times New Roman" w:hAnsi="Times New Roman"/>
          <w:sz w:val="24"/>
        </w:rPr>
        <w:t xml:space="preserve">Commissioner Hansen has asked me to forward you information concerning the Commission’s recent decision to grant extended area service (EAS) to customers of Teton Telecom in Case No. GNR-T-97-8.  The first document is the Commission’s final order in the case (No. 27538) explaining the Commission’s decision to grant EAS.  I have also included several of the Commission’s Rules of Procedure concerning the filing of petitions for reconsideration.</w:t>
      </w:r>
      <w:r>
        <w:rPr/>
      </w:r>
    </w:p>
    <w:p>
      <w:r>
        <w:rPr/>
      </w:r>
    </w:p>
    <w:p>
      <w:r>
        <w:rPr>
          <w:color w:val="000000"/>
          <w:rFonts w:ascii="Times New Roman" w:hAnsi="Times New Roman"/>
          <w:sz w:val="24"/>
        </w:rPr>
        <w:t xml:space="preserve">Rule 331 sets out the procedures for filing a petition for reconsideration.  In particular, such a petition “must set forth specifically the ground or grounds why the petitioner contends that the order . . . is unreasonable, unlawful, erroneous or not in conformance with the law, and a statement of the nature and quantity of evidence or argument the petitioner will offer if reconsideration is granted.”  Please note under paragraph 03. that a petitioner must request reconsideration by evidentiary hearing, written briefs, comments or interrogatories.  The suggested form of a petition is discussed in Rule 62.</w:t>
      </w:r>
      <w:r>
        <w:rPr/>
      </w:r>
    </w:p>
    <w:p>
      <w:r>
        <w:rPr/>
      </w:r>
    </w:p>
    <w:p>
      <w:r>
        <w:rPr>
          <w:color w:val="000000"/>
          <w:rFonts w:ascii="Times New Roman" w:hAnsi="Times New Roman"/>
          <w:sz w:val="24"/>
        </w:rPr>
        <w:t xml:space="preserve">A petition for reconsideration must be served on all parties in the case.  I have included a list of the actual parties in this case.  Finally, Rule 61 also provides that an original plus seven copies of the petition must be filed with me at the address noted above.</w:t>
      </w:r>
      <w:r>
        <w:rPr/>
      </w:r>
    </w:p>
    <w:p>
      <w:r>
        <w:rPr/>
      </w:r>
    </w:p>
    <w:p>
      <w:r>
        <w:rPr>
          <w:color w:val="000000"/>
          <w:rFonts w:ascii="Times New Roman" w:hAnsi="Times New Roman"/>
          <w:sz w:val="24"/>
        </w:rPr>
        <w:t xml:space="preserve">I hope you find this information helpful.</w:t>
      </w:r>
      <w:r>
        <w:rPr/>
      </w:r>
    </w:p>
    <w:p>
      <w:r>
        <w:rPr/>
      </w:r>
    </w:p>
    <w:p>
      <w:r>
        <w:rPr>
          <w:color w:val="000000"/>
          <w:rFonts w:ascii="Times New Roman" w:hAnsi="Times New Roman"/>
          <w:sz w:val="24"/>
        </w:rPr>
        <w:t xml:space="preserve">Sincerely,</w:t>
      </w:r>
      <w:r>
        <w:rPr/>
      </w:r>
    </w:p>
    <w:p>
      <w:r>
        <w:rPr/>
      </w:r>
    </w:p>
    <w:p>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color w:val="000000"/>
          <w:rFonts w:ascii="Times New Roman" w:hAnsi="Times New Roman"/>
          <w:sz w:val="24"/>
        </w:rPr>
        <w:t xml:space="preserve">Enclosures</w:t>
      </w:r>
      <w:r>
        <w:rPr/>
      </w:r>
    </w:p>
    <w:p>
      <w:r>
        <w:rPr/>
      </w:r>
    </w:p>
    <w:p>
      <w:r>
        <w:rPr>
          <w:color w:val="000000"/>
          <w:rFonts w:ascii="Times New Roman" w:hAnsi="Times New Roman"/>
          <w:sz w:val="18"/>
        </w:rPr>
        <w:t xml:space="preserve">bls/L-riley.dh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