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RURAL TELEPHONE COMPANY TO JOIN THE TREASURE VALLEY EXTENDED SERVICE CALLING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7, 1997,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received a Petition from approximately 27 customers of Rural Telephone Company residing in or near Tipanuc, Idaho.  The Petitions request that the Commission institute extended area service (EAS) and provide toll-free calling between the communities of Tipanuc and Mountain Home/Boise and the entire Treasure Valley extended service area.</w:t>
      </w:r>
      <w:r>
        <w:rPr>
          <w:vertAlign w:val="baseline"/>
        </w:rPr>
      </w:r>
    </w:p>
    <w:p>
      <w:r>
        <w:rPr>
          <w:color w:val="000000"/>
          <w:rFonts w:ascii="Times New Roman" w:hAnsi="Times New Roman"/>
          <w:sz w:val="24"/>
          <w:vertAlign w:val="baseline"/>
        </w:rPr>
        <w:t xml:space="preserve">The Petition states that, presently, Tipanuc residents have toll-free access only to their immediate neighbors.  All other calls are long distance.  The Petition further alleges that Tipanuc residents work, shop and receive government, medical and police services in either Boise, Mountain Home, Nampa or Caldwell.  Consequently, the Petitioners request toll-free calling between Tipanuc and these cities and, in support of their request, note the following: (1) Tipanuc and Mountain Home are in the same county; Mountain Home being the county seat, (2) Tipanuc and Mountain Home share the same school district, (3) the closest medical and police facilities are in Mountain Home, (4) the distance between Tipanuc and Mountain Home is 20 miles or less and there are no geographic barriers, and (5) Tipanuc residents do not have toll free access to any information provider or to the Internet.</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vld/N:GNR-T-97-9.bp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