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GRANDVIEW, BRUNEAU AND OREANA FOR EXTENDED AREA SERVICE (EAS) BETWEEN GRANDVIEW, BRUNEAU, OREANA,</w:t>
            </w:r>
            <w:r>
              <w:rPr>
                <w:color w:val="000000"/>
                <w:rFonts w:ascii="Times New Roman" w:hAnsi="Times New Roman"/>
                <w:sz w:val="24"/>
                <w:vertAlign w:val="baseline"/>
              </w:rPr>
              <w:t xml:space="preserve">  MOUNTAIN HOME, BOISE, NAMPA AND CALDWELL</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GNR-T-99-2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17, 1998, the Commission received Petitions from nearly two-hundred fifty (250) CenturyTel of the Gem State Telephone Company customers for toll-free extended area service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between the communities of Grandview, Bruneau, Oreana, Mountain Home, Boise, Nampa and Caldwell.  CenturyTel provides local exchange service to the communities of Grandview, Bruneau and Oreana.  U S WEST Communications, Inc. provides local exchange service to the communities of Mountain Home, Boise, Nampa and Caldwell.</w:t>
      </w:r>
      <w:r>
        <w:rPr>
          <w:vertAlign w:val="baseline"/>
        </w:rPr>
      </w:r>
    </w:p>
    <w:p>
      <w:r>
        <w:rPr>
          <w:color w:val="000000"/>
          <w:rFonts w:ascii="Times New Roman" w:hAnsi="Times New Roman"/>
          <w:sz w:val="24"/>
          <w:vertAlign w:val="baseline"/>
        </w:rPr>
        <w:t xml:space="preserve">YOU ARE FURTHER NOTIFIED that the petitioners allege that there is a strong community-of-interest between Grandview, Bruneau, Oreana, Mountain Home, Boise, Nampa and Caldwell.  The Petition states that many customers call the requested areas for work, medical, government, school, and community needs.</w:t>
      </w:r>
      <w:r>
        <w:rPr>
          <w:vertAlign w:val="baseline"/>
        </w:rPr>
      </w:r>
    </w:p>
    <w:p>
      <w:r>
        <w:rPr>
          <w:color w:val="000000"/>
          <w:rFonts w:ascii="Times New Roman" w:hAnsi="Times New Roman"/>
          <w:sz w:val="24"/>
          <w:vertAlign w:val="baseline"/>
        </w:rPr>
        <w:t xml:space="preserve">YOU ARE FURTHER NOTIFIED that CenturyTel of the Gem State Telephone Company and U S WEST Communications are designated as parties to this proceeding.  The Commission understands that the parties as well as the Staff have already begun their investigations to determine the community-of-interest, costs, and feasibility of the requests.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March 1, 1999</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HEREBY NOTIFIED that the Commission will schedule a technical hearing in this case at a future time.  The purpose of this hearing will be to take the technical evidence of the Companies and the Staff concerning the costs (including any projected rate increase to fund the requests), the community-of-interest, and feasibility of the requests.</w:t>
      </w:r>
      <w:r>
        <w:rPr>
          <w:vertAlign w:val="baseline"/>
        </w:rPr>
      </w:r>
    </w:p>
    <w:p>
      <w:r>
        <w:rPr>
          <w:color w:val="000000"/>
          <w:rFonts w:ascii="Times New Roman" w:hAnsi="Times New Roman"/>
          <w:sz w:val="24"/>
          <w:vertAlign w:val="baseline"/>
        </w:rPr>
        <w:t xml:space="preserve">YOU ARE FURTHER NOTIFIED that the Petitions in this case is available for public inspection during regular business hours at the Commission offices.  The prepared testimony and exhibits must conform to the requirements of Rules 230-231 of the Commission’s Rules of Procedure, IDAPA 31.01.01.230-231.  The Commission is located at:</w:t>
      </w:r>
      <w:r>
        <w:rPr>
          <w:vertAlign w:val="baseline"/>
        </w:rPr>
      </w:r>
    </w:p>
    <w:p>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color w:val="000000"/>
          <w:rFonts w:ascii="Times New Roman" w:hAnsi="Times New Roman"/>
          <w:sz w:val="22"/>
          <w:vertAlign w:val="baseline"/>
        </w:rPr>
        <w:t xml:space="preserve">(208) 334-0338  (TELEPHONE)</w:t>
      </w:r>
      <w:r>
        <w:rPr>
          <w:vertAlign w:val="baseline"/>
        </w:rPr>
      </w:r>
    </w:p>
    <w:p>
      <w:r>
        <w:rPr>
          <w:color w:val="000000"/>
          <w:rFonts w:ascii="Times New Roman" w:hAnsi="Times New Roman"/>
          <w:sz w:val="22"/>
          <w:vertAlign w:val="baseline"/>
        </w:rPr>
        <w:t xml:space="preserve">(208) 334-3151  (TEXT TELEPHONE)</w:t>
      </w:r>
      <w:r>
        <w:rPr>
          <w:vertAlign w:val="baseline"/>
        </w:rPr>
      </w:r>
    </w:p>
    <w:p>
      <w:r>
        <w:rPr>
          <w:color w:val="000000"/>
          <w:rFonts w:ascii="Times New Roman" w:hAnsi="Times New Roman"/>
          <w:sz w:val="22"/>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DATED at Boise, Idaho this                  day of February 1999.</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N:gnrt992.cc</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3,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