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GST IDAHO LIGHTWAVE, INC. FOR A CERTIFICATE OF PUBLIC CONVENIENCE AND NECESSITY TO PROVIDE LOCAL EXCHANGE SERVICES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GST-T-96-1 </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March 28, 1996 the Commission received an Application from GST Idaho Lightwave, Inc. (GST) for a Certificate of Public Convenience and Necessity (Certificate) to provide local exchange service as a competitive local carrier.  Currently GST is authorized to provide telecommunications service pursuant to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Application indicates that GST is seeking to obtain a Certificate to provide all Title 61 regulated telecommunication service, including basic local exchange service throughout the state of Idaho.  GST has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GST-T-96-1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pursuant to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GST-T-96-1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JEFFREY MAYHOOK</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GENERAL COUNSEL</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GST IDAHO LIGHTWAVE, INC.</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4317 NE THURSTON WAY</w:t>
      </w:r>
      <w:r>
        <w:rPr>
          <w:vertAlign w:val="baseline"/>
        </w:rPr>
      </w:r>
    </w:p>
    <w:p>
      <w:r>
        <w:rPr>
          <w:color w:val="000000"/>
          <w:rFonts w:ascii="Times New Roman" w:hAnsi="Times New Roman"/>
          <w:sz w:val="20"/>
          <w:vertAlign w:val="baseline"/>
        </w:rPr>
        <w:t xml:space="preserve">VANCOUVER, WA 98662</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bls/N:GST-T-96-1.sh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