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TT)" w:hAnsi="Times New Roman  (TT)"/>
          <w:sz w:val="24"/>
        </w:rPr>
        <w:t xml:space="preserve">January 12, 1996</w:t>
      </w:r>
      <w:r>
        <w:rPr/>
      </w:r>
    </w:p>
    <w:p>
      <w:r>
        <w:rPr/>
      </w:r>
    </w:p>
    <w:p>
      <w:r>
        <w:rPr/>
      </w:r>
    </w:p>
    <w:p>
      <w:r>
        <w:rPr/>
      </w:r>
    </w:p>
    <w:p>
      <w:r>
        <w:rPr>
          <w:color w:val="000000"/>
          <w:rFonts w:ascii="Times New Roman  (TT)" w:hAnsi="Times New Roman  (TT)"/>
          <w:sz w:val="24"/>
        </w:rPr>
        <w:t xml:space="preserve">Geoffrey Fattah</w:t>
      </w:r>
      <w:r>
        <w:rPr/>
      </w:r>
    </w:p>
    <w:p>
      <w:r>
        <w:rPr>
          <w:color w:val="000000"/>
          <w:rFonts w:ascii="Times New Roman  (TT)" w:hAnsi="Times New Roman  (TT)"/>
          <w:sz w:val="24"/>
        </w:rPr>
        <w:t xml:space="preserve">c/o Moscow Pullman Daily News</w:t>
      </w:r>
      <w:r>
        <w:rPr/>
      </w:r>
    </w:p>
    <w:p>
      <w:r>
        <w:rPr>
          <w:color w:val="000000"/>
          <w:rFonts w:ascii="Times New Roman  (TT)" w:hAnsi="Times New Roman  (TT)"/>
          <w:sz w:val="24"/>
        </w:rPr>
        <w:t xml:space="preserve">PO Box 8187</w:t>
      </w:r>
      <w:r>
        <w:rPr/>
      </w:r>
    </w:p>
    <w:p>
      <w:r>
        <w:rPr>
          <w:color w:val="000000"/>
          <w:rFonts w:ascii="Times New Roman  (TT)" w:hAnsi="Times New Roman  (TT)"/>
          <w:sz w:val="24"/>
        </w:rPr>
        <w:t xml:space="preserve">Moscow, ID 83843</w:t>
      </w:r>
      <w:r>
        <w:rPr/>
      </w:r>
    </w:p>
    <w:p>
      <w:r>
        <w:rPr/>
      </w:r>
    </w:p>
    <w:p>
      <w:r>
        <w:rPr/>
      </w:r>
    </w:p>
    <w:p>
      <w:r>
        <w:rPr>
          <w:color w:val="000000"/>
          <w:rFonts w:ascii="Times New Roman  (TT)" w:hAnsi="Times New Roman  (TT)"/>
          <w:sz w:val="24"/>
        </w:rPr>
        <w:t xml:space="preserve">RE:  Request for Documents Relating to GTE</w:t>
      </w:r>
      <w:r>
        <w:rPr/>
      </w:r>
    </w:p>
    <w:p>
      <w:r>
        <w:rPr/>
      </w:r>
    </w:p>
    <w:p>
      <w:r>
        <w:rPr/>
      </w:r>
    </w:p>
    <w:p>
      <w:r>
        <w:rPr>
          <w:color w:val="000000"/>
          <w:rFonts w:ascii="Times New Roman  (TT)" w:hAnsi="Times New Roman  (TT)"/>
          <w:sz w:val="24"/>
        </w:rPr>
        <w:t xml:space="preserve">Dear Mr Fattah:</w:t>
      </w:r>
      <w:r>
        <w:rPr/>
      </w:r>
    </w:p>
    <w:p>
      <w:r>
        <w:rPr/>
      </w:r>
    </w:p>
    <w:p>
      <w:r>
        <w:rPr>
          <w:color w:val="000000"/>
          <w:rFonts w:ascii="Times New Roman  (TT)" w:hAnsi="Times New Roman  (TT)"/>
          <w:sz w:val="24"/>
        </w:rPr>
        <w:t xml:space="preserve">This is in response to your request dated January 9, 1996 for information submitted to the Commission Staff in Case No. GTE-T-95-3.  Your request was for “data concerning calling studies between exchanges within GTE’s proposed extended area service program and the breakdown of costs and revenue loss used to determine revenue neutrality,” specifically for Schedule 38.</w:t>
      </w:r>
      <w:r>
        <w:rPr/>
      </w:r>
    </w:p>
    <w:p>
      <w:r>
        <w:rPr/>
      </w:r>
    </w:p>
    <w:p>
      <w:r>
        <w:rPr>
          <w:color w:val="000000"/>
          <w:rFonts w:ascii="Times New Roman  (TT)" w:hAnsi="Times New Roman  (TT)"/>
          <w:sz w:val="24"/>
        </w:rPr>
        <w:t xml:space="preserve">I understand that documents have already been provided to you, but that Schedule 38 was not previously provided.  A photocopy of Schedule 38 thus is enclosed.</w:t>
      </w:r>
      <w:r>
        <w:rPr/>
      </w:r>
    </w:p>
    <w:p>
      <w:r>
        <w:rPr/>
      </w:r>
    </w:p>
    <w:p>
      <w:r>
        <w:rPr>
          <w:color w:val="000000"/>
          <w:rFonts w:ascii="Times New Roman  (TT)" w:hAnsi="Times New Roman  (TT)"/>
          <w:sz w:val="24"/>
        </w:rPr>
        <w:t xml:space="preserve">Sincerely,</w:t>
      </w:r>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Enclosure</w:t>
      </w:r>
      <w:r>
        <w:rPr/>
      </w:r>
    </w:p>
    <w:p>
      <w:r>
        <w:rPr/>
      </w:r>
    </w:p>
    <w:p>
      <w:r>
        <w:rPr>
          <w:color w:val="000000"/>
          <w:rFonts w:ascii="Times New Roman  (TT)" w:hAnsi="Times New Roman  (TT)"/>
          <w:sz w:val="24"/>
        </w:rPr>
        <w:t xml:space="preserve">cc:Tim Williamson</w:t>
      </w:r>
      <w:r>
        <w:rPr/>
      </w:r>
    </w:p>
    <w:p>
      <w:r>
        <w:rPr>
          <w:color w:val="000000"/>
          <w:rFonts w:ascii="Times New Roman  (TT)" w:hAnsi="Times New Roman  (TT)"/>
          <w:sz w:val="24"/>
        </w:rPr>
        <w:t xml:space="preserve">     Weldon B. Stutzman</w:t>
      </w:r>
      <w:r>
        <w:rPr/>
      </w:r>
    </w:p>
    <w:p>
      <w:r>
        <w:rPr>
          <w:color w:val="000000"/>
          <w:rFonts w:ascii="Times New Roman  (TT)" w:hAnsi="Times New Roman  (TT)"/>
          <w:sz w:val="24"/>
        </w:rPr>
        <w:t xml:space="preserve">     Charles A. Brown </w:t>
      </w:r>
      <w:r>
        <w:rPr/>
      </w:r>
    </w:p>
    <w:p>
      <w:r>
        <w:rPr>
          <w:color w:val="000000"/>
          <w:rFonts w:ascii="Times New Roman  (TT)" w:hAnsi="Times New Roman  (TT)"/>
          <w:sz w:val="20"/>
        </w:rPr>
        <w:t xml:space="preserve">      </w:t>
      </w:r>
      <w:r>
        <w:rPr/>
      </w:r>
    </w:p>
    <w:p>
      <w:r>
        <w:rPr/>
      </w:r>
    </w:p>
    <w:p>
      <w:r>
        <w:rPr>
          <w:color w:val="000000"/>
          <w:rFonts w:ascii="Times New Roman  (TT)" w:hAnsi="Times New Roman  (TT)"/>
          <w:sz w:val="20"/>
        </w:rPr>
        <w:t xml:space="preserve">cm\l-fattah.ws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