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TO DETERMINE AND FIX PROPER AND ADE­QUATE RATES OF DEPRECIATION FOR SEVERAL CLASSES OF ITS DEPRECIABLE PROPERTY.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10, 1997, GTE Northwest Incorporated  (GTE; Company) filed an Application requesting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to issue an order authorizing GTE to change and revise some of its depreciation rates. The Company seeks to accelerate the asset lives or depreciation rates for those accounts most affected by advances in technology and subject to competition.  GTE indicates that it is not seeking an increase in rates to compensate for the proposed increase in depreciation expense and the resultant decrease in intrastate earning.  The Company also indicates that it does expect to receive full recognition of any approved change in its depreciation rates for purposes of calculating its cost of service in future proceedings before the Commission (e.g., earnings, investigations, cost study reviews, and universal service cost analysis).</w:t>
      </w:r>
      <w:r>
        <w:rPr>
          <w:vertAlign w:val="baseline"/>
        </w:rPr>
      </w:r>
    </w:p>
    <w:p>
      <w:r>
        <w:rPr>
          <w:color w:val="000000"/>
          <w:rFonts w:ascii="Times New Roman" w:hAnsi="Times New Roman"/>
          <w:sz w:val="24"/>
          <w:vertAlign w:val="baseline"/>
        </w:rPr>
        <w:t xml:space="preserve">YOU ARE FURTHER NOTIFIED that GTE requests to shorten the average remaining depreciation lives for eight accounts.  These accounts are as follows:</w:t>
      </w:r>
      <w:r>
        <w:rPr>
          <w:vertAlign w:val="baseline"/>
        </w:rPr>
      </w:r>
    </w:p>
    <w:p>
      <w:r>
        <w:rPr>
          <w:color w:val="000000"/>
          <w:rFonts w:ascii="Times New Roman" w:hAnsi="Times New Roman"/>
          <w:sz w:val="24"/>
          <w:vertAlign w:val="baseline"/>
        </w:rPr>
        <w:t xml:space="preserve">2212.00Digital switching equipment from 12.6 years to 6 years</w:t>
      </w:r>
      <w:r>
        <w:rPr>
          <w:vertAlign w:val="baseline"/>
        </w:rPr>
      </w:r>
    </w:p>
    <w:p>
      <w:r>
        <w:rPr>
          <w:color w:val="000000"/>
          <w:rFonts w:ascii="Times New Roman" w:hAnsi="Times New Roman"/>
          <w:sz w:val="24"/>
          <w:vertAlign w:val="baseline"/>
        </w:rPr>
        <w:t xml:space="preserve">2232.00Circuit equipment from 9.3 years to 4 years</w:t>
      </w:r>
      <w:r>
        <w:rPr>
          <w:vertAlign w:val="baseline"/>
        </w:rPr>
      </w:r>
    </w:p>
    <w:p>
      <w:r>
        <w:rPr>
          <w:color w:val="000000"/>
          <w:rFonts w:ascii="Times New Roman" w:hAnsi="Times New Roman"/>
          <w:sz w:val="24"/>
          <w:vertAlign w:val="baseline"/>
        </w:rPr>
        <w:t xml:space="preserve">2421.10Aerial cable metallic from 18.1 years to 6 years</w:t>
      </w:r>
      <w:r>
        <w:rPr>
          <w:vertAlign w:val="baseline"/>
        </w:rPr>
      </w:r>
    </w:p>
    <w:p>
      <w:r>
        <w:rPr>
          <w:color w:val="000000"/>
          <w:rFonts w:ascii="Times New Roman" w:hAnsi="Times New Roman"/>
          <w:sz w:val="24"/>
          <w:vertAlign w:val="baseline"/>
        </w:rPr>
        <w:t xml:space="preserve">2421.21Aerial cable non-metallic from 28 years to 15 years</w:t>
      </w:r>
      <w:r>
        <w:rPr>
          <w:vertAlign w:val="baseline"/>
        </w:rPr>
      </w:r>
    </w:p>
    <w:p>
      <w:r>
        <w:rPr>
          <w:color w:val="000000"/>
          <w:rFonts w:ascii="Times New Roman" w:hAnsi="Times New Roman"/>
          <w:sz w:val="24"/>
          <w:vertAlign w:val="baseline"/>
        </w:rPr>
        <w:t xml:space="preserve">2422.10Underground cable metallic from 22 years to 6 years</w:t>
      </w:r>
      <w:r>
        <w:rPr>
          <w:vertAlign w:val="baseline"/>
        </w:rPr>
      </w:r>
    </w:p>
    <w:p>
      <w:r>
        <w:rPr>
          <w:color w:val="000000"/>
          <w:rFonts w:ascii="Times New Roman" w:hAnsi="Times New Roman"/>
          <w:sz w:val="24"/>
          <w:vertAlign w:val="baseline"/>
        </w:rPr>
        <w:t xml:space="preserve">2422.20Underground cable non-metallic from 27.0 years to 15.0 years</w:t>
      </w:r>
      <w:r>
        <w:rPr>
          <w:vertAlign w:val="baseline"/>
        </w:rPr>
      </w:r>
    </w:p>
    <w:p>
      <w:r>
        <w:rPr>
          <w:color w:val="000000"/>
          <w:rFonts w:ascii="Times New Roman" w:hAnsi="Times New Roman"/>
          <w:sz w:val="24"/>
          <w:vertAlign w:val="baseline"/>
        </w:rPr>
        <w:t xml:space="preserve">2423.10Buried cable metallic from 16.4 years to 6 years</w:t>
      </w:r>
      <w:r>
        <w:rPr>
          <w:vertAlign w:val="baseline"/>
        </w:rPr>
      </w:r>
    </w:p>
    <w:p>
      <w:r>
        <w:rPr>
          <w:color w:val="000000"/>
          <w:rFonts w:ascii="Times New Roman" w:hAnsi="Times New Roman"/>
          <w:sz w:val="24"/>
          <w:vertAlign w:val="baseline"/>
        </w:rPr>
        <w:t xml:space="preserve">2423.20Buried cable non-metallic from 29.0 years to 15.0 years</w:t>
      </w:r>
      <w:r>
        <w:rPr>
          <w:vertAlign w:val="baseline"/>
        </w:rPr>
      </w:r>
    </w:p>
    <w:p>
      <w:r>
        <w:rPr>
          <w:color w:val="000000"/>
          <w:rFonts w:ascii="Times New Roman" w:hAnsi="Times New Roman"/>
          <w:sz w:val="24"/>
          <w:vertAlign w:val="baseline"/>
        </w:rPr>
        <w:t xml:space="preserve">GTE claims that these accounts contain the telecommunication assets which are most impacted by the combined effects of technological change and competition. These accounts represent about 66 percent of the Company’s plant in service.  GTE estimates economic lives for the assets in these accounts as follows: copper cable 15 years, digital switching 10 years, circuit equipment 8 years, and fiber cable 20 years.  GTE estimates the economic remaining lives as follows: copper cable 6 years, digital switching 6 years, circuit equipment 4 years, and fiber cable 15 years.   See Attachment 1. </w:t>
      </w:r>
      <w:r>
        <w:rPr>
          <w:vertAlign w:val="baseline"/>
        </w:rPr>
      </w:r>
    </w:p>
    <w:p>
      <w:r>
        <w:rPr>
          <w:color w:val="000000"/>
          <w:rFonts w:ascii="Times New Roman" w:hAnsi="Times New Roman"/>
          <w:sz w:val="24"/>
          <w:vertAlign w:val="baseline"/>
        </w:rPr>
        <w:t xml:space="preserve">YOU ARE FURTHER NOTIFIED that the Application together with supporting testimony and exhibits have been filed with the Commission and are available for public inspection during regular business hours at the Commission office.</w:t>
      </w:r>
      <w:r>
        <w:rPr>
          <w:vertAlign w:val="baseline"/>
        </w:rPr>
      </w:r>
    </w:p>
    <w:p>
      <w:r>
        <w:rPr>
          <w:color w:val="000000"/>
          <w:rFonts w:ascii="Times New Roman" w:hAnsi="Times New Roman"/>
          <w:sz w:val="24"/>
          <w:vertAlign w:val="baseline"/>
        </w:rPr>
        <w:t xml:space="preserve">YOU ARE FURTHER NOTIFIED that persons desiring to intervene in this case for the purpose of presenting evidence or cross-examining witnesses must file a Petition to Intervene with the Commission pursuant to Rules 72 and 73 of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 YOU ARE FURTHER NOTIFIED that all proceedings in this case will be held pursuant to the Commission's jurisdiction under Title 61 of the Idaho Code and that the Commission may enter any final Order consistent with its authority under Title 61.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specifically</w:t>
      </w:r>
      <w:r>
        <w:rPr>
          <w:color w:val="000000"/>
          <w:rFonts w:ascii="Times New Roman" w:hAnsi="Times New Roman"/>
          <w:sz w:val="24"/>
          <w:vertAlign w:val="baseline"/>
        </w:rPr>
        <w:t xml:space="preserve"> Idaho Code </w:t>
      </w:r>
      <w:r>
        <w:rPr>
          <w:color w:val="000000"/>
          <w:rFonts w:ascii="Times New Roman" w:hAnsi="Times New Roman"/>
          <w:sz w:val="24"/>
          <w:vertAlign w:val="baseline"/>
        </w:rPr>
        <w:t xml:space="preserve">§ 61-525.</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vld/N:GTE-T-97-5.sh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