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GTE NORTHWEST INCORPORATED’S TARIFF ADVICE NO. 98-10 TO PROVIDE TWO NEW EXTENDED CALLING AREAS FOR THE TENSED/ BLUEBELL AND EVERGREEN EXCHANGES.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GTE-T-98-3</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27661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28, 1998, GTE Northwest Incorporated filed Tariff Advice 98-10 requesting approval to extend the local calling area for the Evergreen Exchange (Farmington, Idaho) and the Tensed/Bluebell exchange (Tensed, Idaho) into the towns of Potlatch, Plummer/Worley, and St. Maries, Idaho.  Both the Evergreen and Tensed/Bluebell exchanges are in the Spokane LATA, but the towns of Tensed (Bluebell exchange) and Farmington (Evergreen exchange) are on the Idaho side of the Idaho/Washington border.  The expanded calling area would be available to customers selecting the Community Plus calling plan.  GTE proposed an effective date of August 24, 1998 for its Tariff Advice 98-10, which was assigned Case No. GTE-T-98-3.  </w:t>
      </w:r>
      <w:r>
        <w:rPr>
          <w:vertAlign w:val="baseline"/>
        </w:rPr>
      </w:r>
    </w:p>
    <w:p>
      <w:r>
        <w:rPr>
          <w:color w:val="000000"/>
          <w:rFonts w:ascii="Times New Roman" w:hAnsi="Times New Roman"/>
          <w:sz w:val="24"/>
          <w:vertAlign w:val="baseline"/>
        </w:rPr>
        <w:t xml:space="preserve">On June 18, 1998, the Commission upon determining that the public interest did not require a formal hearing in this matter, issued a Notice of Modified Procedure and Order No. 27593 to process this filing under modified procedure. See IDAPA 31.01.01.201-04.  The Notice established a 21-day comment period, which ended July 9, 1998.</w:t>
      </w:r>
      <w:r>
        <w:rPr>
          <w:vertAlign w:val="baseline"/>
        </w:rPr>
      </w:r>
    </w:p>
    <w:p>
      <w:r>
        <w:rPr>
          <w:color w:val="000000"/>
          <w:rFonts w:ascii="Times New Roman" w:hAnsi="Times New Roman"/>
          <w:sz w:val="24"/>
          <w:vertAlign w:val="baseline"/>
        </w:rPr>
        <w:t xml:space="preserve">Staff filed comments in support of the proposed extended area routes. Staff indicated that for the past year, Staff has worked with GTE on an equitable calling plan for the communities of Tensed, DeSmit and Farmington.  Staff reviewed the cost data submitted by GTE and found the proposed calling route adjustments to be revenue neutral to GTE and beneficial to the customers within the affected communities.  Staff stated its belief that GTE adequately addressed the needs of its customers in these communities by its proposed tariff advice. </w:t>
      </w:r>
      <w:r>
        <w:rPr>
          <w:vertAlign w:val="baseline"/>
        </w:rPr>
      </w:r>
    </w:p>
    <w:p>
      <w:r>
        <w:rPr>
          <w:color w:val="000000"/>
          <w:rFonts w:ascii="Times New Roman" w:hAnsi="Times New Roman"/>
          <w:sz w:val="24"/>
          <w:vertAlign w:val="baseline"/>
        </w:rPr>
        <w:t xml:space="preserve">Staff also received a letter in support of the extended calling region and a petition with 41 signatures supporting the new optional calling plan.  No comments objecting to the proposed optional calling plan were filed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GTE’s tariff advice enlarges the local calling area for its customers that select the Community Plus calling plan.  The current and proposed optional calling areas are as follows:</w:t>
      </w:r>
      <w:r>
        <w:rPr>
          <w:vertAlign w:val="baseline"/>
        </w:rPr>
      </w:r>
    </w:p>
    <w:p>
      <w:r>
        <w:rPr>
          <w:color w:val="000000"/>
          <w:rFonts w:ascii="Times New Roman" w:hAnsi="Times New Roman"/>
          <w:sz w:val="24"/>
          <w:vertAlign w:val="baseline"/>
        </w:rPr>
        <w:t xml:space="preserve">Current Calling Areas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Proposed Calling Areas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Evergreen</w:t>
      </w:r>
      <w:r>
        <w:rPr>
          <w:color w:val="000000"/>
          <w:rFonts w:ascii="Times New Roman" w:hAnsi="Times New Roman"/>
          <w:sz w:val="24"/>
          <w:vertAlign w:val="baseline"/>
        </w:rPr>
        <w:t xml:space="preserve">EvergreenEvergreen</w:t>
      </w:r>
      <w:r>
        <w:rPr>
          <w:vertAlign w:val="baseline"/>
        </w:rPr>
      </w:r>
    </w:p>
    <w:p>
      <w:r>
        <w:rPr>
          <w:color w:val="000000"/>
          <w:rFonts w:ascii="Times New Roman" w:hAnsi="Times New Roman"/>
          <w:sz w:val="24"/>
          <w:vertAlign w:val="baseline"/>
        </w:rPr>
        <w:t xml:space="preserve">(Farmington, ID)Farmington, WAFarmington, WA</w:t>
      </w:r>
      <w:r>
        <w:rPr>
          <w:vertAlign w:val="baseline"/>
        </w:rPr>
      </w:r>
    </w:p>
    <w:p>
      <w:r>
        <w:rPr>
          <w:color w:val="000000"/>
          <w:rFonts w:ascii="Times New Roman" w:hAnsi="Times New Roman"/>
          <w:sz w:val="24"/>
          <w:vertAlign w:val="baseline"/>
        </w:rPr>
        <w:t xml:space="preserve">Tensed/BluebellTensed/Bluebell</w:t>
      </w:r>
      <w:r>
        <w:rPr>
          <w:vertAlign w:val="baseline"/>
        </w:rPr>
      </w:r>
    </w:p>
    <w:p>
      <w:r>
        <w:rPr>
          <w:color w:val="000000"/>
          <w:rFonts w:ascii="Times New Roman" w:hAnsi="Times New Roman"/>
          <w:sz w:val="24"/>
          <w:vertAlign w:val="baseline"/>
        </w:rPr>
        <w:t xml:space="preserve">   Rock CreekRock Creek</w:t>
      </w:r>
      <w:r>
        <w:rPr>
          <w:vertAlign w:val="baseline"/>
        </w:rPr>
      </w:r>
    </w:p>
    <w:p>
      <w:r>
        <w:rPr>
          <w:color w:val="000000"/>
          <w:rFonts w:ascii="Times New Roman" w:hAnsi="Times New Roman"/>
          <w:sz w:val="24"/>
          <w:vertAlign w:val="baseline"/>
        </w:rPr>
        <w:t xml:space="preserve">Plummer/Worley</w:t>
      </w:r>
      <w:r>
        <w:rPr>
          <w:vertAlign w:val="baseline"/>
        </w:rPr>
      </w:r>
    </w:p>
    <w:p>
      <w:r>
        <w:rPr>
          <w:color w:val="000000"/>
          <w:rFonts w:ascii="Times New Roman" w:hAnsi="Times New Roman"/>
          <w:sz w:val="24"/>
          <w:vertAlign w:val="baseline"/>
        </w:rPr>
        <w:t xml:space="preserve">Potlatch</w:t>
      </w:r>
      <w:r>
        <w:rPr>
          <w:vertAlign w:val="baseline"/>
        </w:rPr>
      </w:r>
    </w:p>
    <w:p>
      <w:r>
        <w:rPr>
          <w:color w:val="000000"/>
          <w:rFonts w:ascii="Times New Roman" w:hAnsi="Times New Roman"/>
          <w:sz w:val="24"/>
          <w:vertAlign w:val="baseline"/>
        </w:rPr>
        <w:t xml:space="preserve">St. Maries</w:t>
      </w:r>
      <w:r>
        <w:rPr>
          <w:vertAlign w:val="baseline"/>
        </w:rPr>
      </w:r>
    </w:p>
    <w:p>
      <w:r>
        <w:rPr>
          <w:vertAlign w:val="baseline"/>
        </w:rPr>
      </w:r>
    </w:p>
    <w:p>
      <w:r>
        <w:rPr>
          <w:color w:val="000000"/>
          <w:rFonts w:ascii="Times New Roman" w:hAnsi="Times New Roman"/>
          <w:sz w:val="24"/>
          <w:vertAlign w:val="baseline"/>
        </w:rPr>
        <w:t xml:space="preserve">Tensed/Bluebell</w:t>
      </w:r>
      <w:r>
        <w:rPr>
          <w:color w:val="000000"/>
          <w:rFonts w:ascii="Times New Roman" w:hAnsi="Times New Roman"/>
          <w:sz w:val="24"/>
          <w:vertAlign w:val="baseline"/>
        </w:rPr>
        <w:t xml:space="preserve">Tensed/BluebellTensed/Bluebell</w:t>
      </w:r>
      <w:r>
        <w:rPr>
          <w:vertAlign w:val="baseline"/>
        </w:rPr>
      </w:r>
    </w:p>
    <w:p>
      <w:r>
        <w:rPr>
          <w:color w:val="000000"/>
          <w:rFonts w:ascii="Times New Roman" w:hAnsi="Times New Roman"/>
          <w:sz w:val="24"/>
          <w:vertAlign w:val="baseline"/>
        </w:rPr>
        <w:t xml:space="preserve">Tensed, IDTekoa, WATekoa, WA</w:t>
      </w:r>
      <w:r>
        <w:rPr>
          <w:vertAlign w:val="baseline"/>
        </w:rPr>
      </w:r>
    </w:p>
    <w:p>
      <w:r>
        <w:rPr>
          <w:color w:val="000000"/>
          <w:rFonts w:ascii="Times New Roman" w:hAnsi="Times New Roman"/>
          <w:sz w:val="24"/>
          <w:vertAlign w:val="baseline"/>
        </w:rPr>
        <w:t xml:space="preserve">DeSmit, IDEvergreenEvergreen</w:t>
      </w:r>
      <w:r>
        <w:rPr>
          <w:vertAlign w:val="baseline"/>
        </w:rPr>
      </w:r>
    </w:p>
    <w:p>
      <w:r>
        <w:rPr>
          <w:color w:val="000000"/>
          <w:rFonts w:ascii="Times New Roman" w:hAnsi="Times New Roman"/>
          <w:sz w:val="24"/>
          <w:vertAlign w:val="baseline"/>
        </w:rPr>
        <w:t xml:space="preserve">Rock CreekRock Creek</w:t>
      </w:r>
      <w:r>
        <w:rPr>
          <w:vertAlign w:val="baseline"/>
        </w:rPr>
      </w:r>
    </w:p>
    <w:p>
      <w:r>
        <w:rPr>
          <w:color w:val="000000"/>
          <w:rFonts w:ascii="Times New Roman" w:hAnsi="Times New Roman"/>
          <w:sz w:val="24"/>
          <w:vertAlign w:val="baseline"/>
        </w:rPr>
        <w:t xml:space="preserve">Plummer/Worley</w:t>
      </w:r>
      <w:r>
        <w:rPr>
          <w:vertAlign w:val="baseline"/>
        </w:rPr>
      </w:r>
    </w:p>
    <w:p>
      <w:r>
        <w:rPr>
          <w:color w:val="000000"/>
          <w:rFonts w:ascii="Times New Roman" w:hAnsi="Times New Roman"/>
          <w:sz w:val="24"/>
          <w:vertAlign w:val="baseline"/>
        </w:rPr>
        <w:t xml:space="preserve">Potlatch</w:t>
      </w:r>
      <w:r>
        <w:rPr>
          <w:vertAlign w:val="baseline"/>
        </w:rPr>
      </w:r>
    </w:p>
    <w:p>
      <w:r>
        <w:rPr>
          <w:color w:val="000000"/>
          <w:rFonts w:ascii="Times New Roman" w:hAnsi="Times New Roman"/>
          <w:sz w:val="24"/>
          <w:vertAlign w:val="baseline"/>
        </w:rPr>
        <w:t xml:space="preserve">St. Maries</w:t>
      </w:r>
      <w:r>
        <w:rPr>
          <w:vertAlign w:val="baseline"/>
        </w:rPr>
      </w:r>
    </w:p>
    <w:p>
      <w:r>
        <w:rPr>
          <w:vertAlign w:val="baseline"/>
        </w:rPr>
      </w:r>
    </w:p>
    <w:p>
      <w:r>
        <w:rPr>
          <w:color w:val="000000"/>
          <w:rFonts w:ascii="Times New Roman" w:hAnsi="Times New Roman"/>
          <w:sz w:val="24"/>
          <w:vertAlign w:val="baseline"/>
        </w:rPr>
        <w:t xml:space="preserve"> Customers choosing the expanded Community Plus calling plan will see a rate increase over existing Community Plus rates. However, this is only one of four optional calling plans offered to GTE customers.</w:t>
      </w:r>
      <w:r>
        <w:rPr>
          <w:color w:val="000000"/>
          <w:rFonts w:ascii="Times New Roman" w:hAnsi="Times New Roman"/>
          <w:sz w:val="24"/>
          <w:vertAlign w:val="baseline"/>
        </w:rPr>
        <w:t xml:space="preserve"> The following rate increase is for unlimited usage for GTE’s Community Plus calling plan customers: </w:t>
      </w:r>
      <w:r>
        <w:rPr>
          <w:vertAlign w:val="baseline"/>
        </w:rPr>
      </w:r>
    </w:p>
    <w:p>
      <w:r>
        <w:rPr>
          <w:vertAlign w:val="baseline"/>
        </w:rPr>
      </w:r>
    </w:p>
    <w:p>
      <w:r>
        <w:rPr>
          <w:color w:val="000000"/>
          <w:rFonts w:ascii="Times New Roman" w:hAnsi="Times New Roman"/>
          <w:sz w:val="24"/>
          <w:vertAlign w:val="baseline"/>
        </w:rPr>
        <w:t xml:space="preserve">Current Monthly Rate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EAS Adder</w:t>
      </w:r>
      <w:r>
        <w:rPr>
          <w:color w:val="000000"/>
          <w:rFonts w:ascii="Times New Roman" w:hAnsi="Times New Roman"/>
          <w:sz w:val="24"/>
          <w:vertAlign w:val="baseline"/>
        </w:rPr>
        <w:t xml:space="preserve">New Monthly Rate</w:t>
      </w:r>
      <w:r>
        <w:rPr>
          <w:vertAlign w:val="baseline"/>
        </w:rPr>
      </w:r>
    </w:p>
    <w:p>
      <w:r>
        <w:rPr>
          <w:color w:val="000000"/>
          <w:rFonts w:ascii="Times New Roman" w:hAnsi="Times New Roman"/>
          <w:sz w:val="24"/>
          <w:vertAlign w:val="baseline"/>
        </w:rPr>
        <w:t xml:space="preserve">Evergreen and</w:t>
      </w:r>
      <w:r>
        <w:rPr>
          <w:vertAlign w:val="baseline"/>
        </w:rPr>
      </w:r>
    </w:p>
    <w:p>
      <w:r>
        <w:rPr>
          <w:color w:val="000000"/>
          <w:rFonts w:ascii="Times New Roman" w:hAnsi="Times New Roman"/>
          <w:sz w:val="24"/>
          <w:vertAlign w:val="baseline"/>
        </w:rPr>
        <w:t xml:space="preserve">Tensed/Bluebell</w:t>
      </w:r>
      <w:r>
        <w:rPr>
          <w:vertAlign w:val="baseline"/>
        </w:rPr>
      </w:r>
    </w:p>
    <w:p>
      <w:r>
        <w:rPr>
          <w:color w:val="000000"/>
          <w:rFonts w:ascii="Times New Roman" w:hAnsi="Times New Roman"/>
          <w:sz w:val="24"/>
          <w:vertAlign w:val="baseline"/>
        </w:rPr>
        <w:t xml:space="preserve">Residential (1 line)  $ 11.25$  6.76        $  18.01</w:t>
      </w:r>
      <w:r>
        <w:rPr>
          <w:vertAlign w:val="baseline"/>
        </w:rPr>
      </w:r>
    </w:p>
    <w:p>
      <w:r>
        <w:rPr>
          <w:color w:val="000000"/>
          <w:rFonts w:ascii="Times New Roman" w:hAnsi="Times New Roman"/>
          <w:sz w:val="24"/>
          <w:vertAlign w:val="baseline"/>
        </w:rPr>
        <w:t xml:space="preserve">Business (1 line)         22.00                       13.52               35.52</w:t>
      </w:r>
      <w:r>
        <w:rPr>
          <w:vertAlign w:val="baseline"/>
        </w:rPr>
      </w:r>
    </w:p>
    <w:p>
      <w:r>
        <w:rPr>
          <w:color w:val="000000"/>
          <w:rFonts w:ascii="Times New Roman" w:hAnsi="Times New Roman"/>
          <w:sz w:val="24"/>
          <w:vertAlign w:val="baseline"/>
        </w:rPr>
        <w:t xml:space="preserve">Business (Multi-line)       25.00  13.52              38.52</w:t>
      </w:r>
      <w:r>
        <w:rPr>
          <w:vertAlign w:val="baseline"/>
        </w:rPr>
      </w:r>
    </w:p>
    <w:p>
      <w:r>
        <w:rPr>
          <w:color w:val="000000"/>
          <w:rFonts w:ascii="Times New Roman" w:hAnsi="Times New Roman"/>
          <w:sz w:val="24"/>
          <w:vertAlign w:val="baseline"/>
        </w:rPr>
        <w:t xml:space="preserve">Central Office Located         19.00  13.25    32.52</w:t>
      </w:r>
      <w:r>
        <w:rPr>
          <w:vertAlign w:val="baseline"/>
        </w:rPr>
      </w:r>
    </w:p>
    <w:p>
      <w:r>
        <w:rPr>
          <w:color w:val="000000"/>
          <w:rFonts w:ascii="Times New Roman" w:hAnsi="Times New Roman"/>
          <w:sz w:val="24"/>
          <w:vertAlign w:val="baseline"/>
        </w:rPr>
        <w:t xml:space="preserve">Trunk</w:t>
      </w:r>
      <w:r>
        <w:rPr>
          <w:vertAlign w:val="baseline"/>
        </w:rPr>
      </w:r>
    </w:p>
    <w:p>
      <w:r>
        <w:rPr>
          <w:vertAlign w:val="baseline"/>
        </w:rPr>
      </w:r>
    </w:p>
    <w:p>
      <w:r>
        <w:rPr>
          <w:color w:val="000000"/>
          <w:rFonts w:ascii="Times New Roman" w:hAnsi="Times New Roman"/>
          <w:sz w:val="24"/>
          <w:vertAlign w:val="baseline"/>
        </w:rPr>
        <w:t xml:space="preserve">Plummer-Worley</w:t>
      </w:r>
      <w:r>
        <w:rPr>
          <w:vertAlign w:val="baseline"/>
        </w:rPr>
      </w:r>
    </w:p>
    <w:p>
      <w:r>
        <w:rPr>
          <w:color w:val="000000"/>
          <w:rFonts w:ascii="Times New Roman" w:hAnsi="Times New Roman"/>
          <w:sz w:val="24"/>
          <w:vertAlign w:val="baseline"/>
        </w:rPr>
        <w:t xml:space="preserve">Residential (1 line)  $ 16.20 $ 1.94     $  18.14</w:t>
      </w:r>
      <w:r>
        <w:rPr>
          <w:vertAlign w:val="baseline"/>
        </w:rPr>
      </w:r>
    </w:p>
    <w:p>
      <w:r>
        <w:rPr>
          <w:color w:val="000000"/>
          <w:rFonts w:ascii="Times New Roman" w:hAnsi="Times New Roman"/>
          <w:sz w:val="24"/>
          <w:vertAlign w:val="baseline"/>
        </w:rPr>
        <w:t xml:space="preserve">Business (1 line)          38.30    3.87       42.17</w:t>
      </w:r>
      <w:r>
        <w:rPr>
          <w:vertAlign w:val="baseline"/>
        </w:rPr>
      </w:r>
    </w:p>
    <w:p>
      <w:r>
        <w:rPr>
          <w:color w:val="000000"/>
          <w:rFonts w:ascii="Times New Roman" w:hAnsi="Times New Roman"/>
          <w:sz w:val="24"/>
          <w:vertAlign w:val="baseline"/>
        </w:rPr>
        <w:t xml:space="preserve">Business (Multi-line)      43.00    3.87                46.87</w:t>
      </w:r>
      <w:r>
        <w:rPr>
          <w:vertAlign w:val="baseline"/>
        </w:rPr>
      </w:r>
    </w:p>
    <w:p>
      <w:r>
        <w:rPr>
          <w:color w:val="000000"/>
          <w:rFonts w:ascii="Times New Roman" w:hAnsi="Times New Roman"/>
          <w:sz w:val="24"/>
          <w:vertAlign w:val="baseline"/>
        </w:rPr>
        <w:t xml:space="preserve">Central Office Located         37.00    3.87             40.87</w:t>
      </w:r>
      <w:r>
        <w:rPr>
          <w:vertAlign w:val="baseline"/>
        </w:rPr>
      </w:r>
    </w:p>
    <w:p>
      <w:r>
        <w:rPr>
          <w:color w:val="000000"/>
          <w:rFonts w:ascii="Times New Roman" w:hAnsi="Times New Roman"/>
          <w:sz w:val="24"/>
          <w:vertAlign w:val="baseline"/>
        </w:rPr>
        <w:t xml:space="preserve">Trunk</w:t>
      </w:r>
      <w:r>
        <w:rPr>
          <w:vertAlign w:val="baseline"/>
        </w:rPr>
      </w:r>
    </w:p>
    <w:p>
      <w:r>
        <w:rPr>
          <w:vertAlign w:val="baseline"/>
        </w:rPr>
      </w:r>
    </w:p>
    <w:p>
      <w:r>
        <w:rPr>
          <w:color w:val="000000"/>
          <w:rFonts w:ascii="Times New Roman" w:hAnsi="Times New Roman"/>
          <w:sz w:val="24"/>
          <w:vertAlign w:val="baseline"/>
        </w:rPr>
        <w:t xml:space="preserve">Potlatch</w:t>
      </w:r>
      <w:r>
        <w:rPr>
          <w:vertAlign w:val="baseline"/>
        </w:rPr>
      </w:r>
    </w:p>
    <w:p>
      <w:r>
        <w:rPr>
          <w:color w:val="000000"/>
          <w:rFonts w:ascii="Times New Roman" w:hAnsi="Times New Roman"/>
          <w:sz w:val="24"/>
          <w:vertAlign w:val="baseline"/>
        </w:rPr>
        <w:t xml:space="preserve">Residential  $ 15.25   $   .39            $ 15.64</w:t>
      </w:r>
      <w:r>
        <w:rPr>
          <w:vertAlign w:val="baseline"/>
        </w:rPr>
      </w:r>
    </w:p>
    <w:p>
      <w:r>
        <w:rPr>
          <w:color w:val="000000"/>
          <w:rFonts w:ascii="Times New Roman" w:hAnsi="Times New Roman"/>
          <w:sz w:val="24"/>
          <w:vertAlign w:val="baseline"/>
        </w:rPr>
        <w:t xml:space="preserve">Business (1 line)       36.00        .77      36.77</w:t>
      </w:r>
      <w:r>
        <w:rPr>
          <w:vertAlign w:val="baseline"/>
        </w:rPr>
      </w:r>
    </w:p>
    <w:p>
      <w:r>
        <w:rPr>
          <w:color w:val="000000"/>
          <w:rFonts w:ascii="Times New Roman" w:hAnsi="Times New Roman"/>
          <w:sz w:val="24"/>
          <w:vertAlign w:val="baseline"/>
        </w:rPr>
        <w:t xml:space="preserve">Business (Multi-line)         39.00        .77      39.77</w:t>
      </w:r>
      <w:r>
        <w:rPr>
          <w:vertAlign w:val="baseline"/>
        </w:rPr>
      </w:r>
    </w:p>
    <w:p>
      <w:r>
        <w:rPr>
          <w:color w:val="000000"/>
          <w:rFonts w:ascii="Times New Roman" w:hAnsi="Times New Roman"/>
          <w:sz w:val="24"/>
          <w:vertAlign w:val="baseline"/>
        </w:rPr>
        <w:t xml:space="preserve">Central Office Located         33.00        .77      33.77</w:t>
      </w:r>
      <w:r>
        <w:rPr>
          <w:vertAlign w:val="baseline"/>
        </w:rPr>
      </w:r>
    </w:p>
    <w:p>
      <w:r>
        <w:rPr>
          <w:color w:val="000000"/>
          <w:rFonts w:ascii="Times New Roman" w:hAnsi="Times New Roman"/>
          <w:sz w:val="24"/>
          <w:vertAlign w:val="baseline"/>
        </w:rPr>
        <w:t xml:space="preserve">Trunk</w:t>
      </w:r>
      <w:r>
        <w:rPr>
          <w:vertAlign w:val="baseline"/>
        </w:rPr>
      </w:r>
    </w:p>
    <w:p>
      <w:r>
        <w:rPr>
          <w:vertAlign w:val="baseline"/>
        </w:rPr>
      </w:r>
    </w:p>
    <w:p>
      <w:r>
        <w:rPr>
          <w:color w:val="000000"/>
          <w:rFonts w:ascii="Times New Roman" w:hAnsi="Times New Roman"/>
          <w:sz w:val="24"/>
          <w:vertAlign w:val="baseline"/>
        </w:rPr>
        <w:t xml:space="preserve">St. Maries</w:t>
      </w:r>
      <w:r>
        <w:rPr>
          <w:vertAlign w:val="baseline"/>
        </w:rPr>
      </w:r>
    </w:p>
    <w:p>
      <w:r>
        <w:rPr>
          <w:color w:val="000000"/>
          <w:rFonts w:ascii="Times New Roman" w:hAnsi="Times New Roman"/>
          <w:sz w:val="24"/>
          <w:vertAlign w:val="baseline"/>
        </w:rPr>
        <w:t xml:space="preserve">Residential  $ 12.75   $   .29            $ 13.04</w:t>
      </w:r>
      <w:r>
        <w:rPr>
          <w:vertAlign w:val="baseline"/>
        </w:rPr>
      </w:r>
    </w:p>
    <w:p>
      <w:r>
        <w:rPr>
          <w:color w:val="000000"/>
          <w:rFonts w:ascii="Times New Roman" w:hAnsi="Times New Roman"/>
          <w:sz w:val="24"/>
          <w:vertAlign w:val="baseline"/>
        </w:rPr>
        <w:t xml:space="preserve">Business (1 line)        27.00        .58           27.58</w:t>
      </w:r>
      <w:r>
        <w:rPr>
          <w:vertAlign w:val="baseline"/>
        </w:rPr>
      </w:r>
    </w:p>
    <w:p>
      <w:r>
        <w:rPr>
          <w:color w:val="000000"/>
          <w:rFonts w:ascii="Times New Roman" w:hAnsi="Times New Roman"/>
          <w:sz w:val="24"/>
          <w:vertAlign w:val="baseline"/>
        </w:rPr>
        <w:t xml:space="preserve">Business (Multi-line)        30.00        .58      30.58</w:t>
      </w:r>
      <w:r>
        <w:rPr>
          <w:vertAlign w:val="baseline"/>
        </w:rPr>
      </w:r>
    </w:p>
    <w:p>
      <w:r>
        <w:rPr>
          <w:color w:val="000000"/>
          <w:rFonts w:ascii="Times New Roman" w:hAnsi="Times New Roman"/>
          <w:sz w:val="24"/>
          <w:vertAlign w:val="baseline"/>
        </w:rPr>
        <w:t xml:space="preserve">Central Office Located        24.00        .58      24.58</w:t>
      </w:r>
      <w:r>
        <w:rPr>
          <w:vertAlign w:val="baseline"/>
        </w:rPr>
      </w:r>
    </w:p>
    <w:p>
      <w:r>
        <w:rPr>
          <w:color w:val="000000"/>
          <w:rFonts w:ascii="Times New Roman" w:hAnsi="Times New Roman"/>
          <w:sz w:val="24"/>
          <w:vertAlign w:val="baseline"/>
        </w:rPr>
        <w:t xml:space="preserve">Trunk</w:t>
      </w:r>
      <w:r>
        <w:rPr>
          <w:vertAlign w:val="baseline"/>
        </w:rPr>
      </w:r>
    </w:p>
    <w:p>
      <w:r>
        <w:rPr>
          <w:vertAlign w:val="baseline"/>
        </w:rPr>
      </w:r>
    </w:p>
    <w:p>
      <w:r>
        <w:rPr>
          <w:color w:val="000000"/>
          <w:rFonts w:ascii="Times New Roman" w:hAnsi="Times New Roman"/>
          <w:sz w:val="24"/>
          <w:vertAlign w:val="baseline"/>
        </w:rPr>
        <w:t xml:space="preserve">GTE is also proposing to add the new calling areas to its Measured Rate Local Calling Plan.  However, neither the basic monthly rates nor the per minute charges will increase, GTE will simply add the new calling areas to its designated zone calling areas.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We find that GTE’s Tariff Advice 98-10 is a reasonable and appropriate adjustment to the local calling area for customers in the Evergreen and Tensed/Bluebell exchanges that select the Community Plus calling plan. The local calling area for these customers that live in Idaho has been mostly to Washington communities. The changes proposed by GTE, which are supported by Staff, will create more choices for customers, and increase access to other Idaho communities by these customers. We find the proposed changes and rates to be fair, reasonable and in the public interest, and therefore approve GTE’s Tariff Advice 98-10. GTE should implement the changes in Tariff Advice 98-10, effective August 24, 1998. </w:t>
      </w:r>
      <w:r>
        <w:rPr>
          <w:vertAlign w:val="baseline"/>
        </w:rPr>
      </w:r>
    </w:p>
    <w:p>
      <w:r>
        <w:rPr>
          <w:color w:val="000000"/>
          <w:rFonts w:ascii="Times New Roman" w:hAnsi="Times New Roman"/>
          <w:sz w:val="24"/>
          <w:vertAlign w:val="baseline"/>
        </w:rPr>
        <w:t xml:space="preserve">IT IS HEREBY ORDERED that GTE Tariff Advice 98-10 to implement changes to the calling areas in the Evergreen and Tensed/Bluebell exchanges is approved, effective August 24, 1998.</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vld/O:GTE-T-98-3.ws2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30,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