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w:t>
            </w:r>
            <w:r>
              <w:rPr>
                <w:color w:val="000000"/>
                <w:rFonts w:ascii="Times New Roman" w:hAnsi="Times New Roman"/>
                <w:sz w:val="24"/>
                <w:vertAlign w:val="baseline"/>
              </w:rPr>
              <w:t xml:space="preserve">CENTURY TELEPHONE OF IDAHO, INC., POTLATCH TELEPHONE COMPANY AND TROY TELEPHONE COMPANY (d.b.a. TDS TELECOM)</w:t>
            </w:r>
            <w:r>
              <w:rPr>
                <w:color w:val="000000"/>
                <w:rFonts w:ascii="Times New Roman" w:hAnsi="Times New Roman"/>
                <w:sz w:val="24"/>
                <w:vertAlign w:val="baseline"/>
              </w:rPr>
              <w:t xml:space="preserve"> FOR DESIGNATION AS ELIGIBLE TELECOMMUNICATIONS CARRIERS IN THE STATE OF IDAHO PER FCC UNIVERSAL REPORT AND ORDER NO. 96-45.</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NOS. CEN-T-97-1</w:t>
            </w:r>
            <w:r>
              <w:rPr>
                <w:vertAlign w:val="baseline"/>
              </w:rPr>
            </w:r>
          </w:p>
          <w:p>
            <w:r>
              <w:rPr>
                <w:color w:val="000000"/>
                <w:rFonts w:ascii="Times New Roman" w:hAnsi="Times New Roman"/>
                <w:sz w:val="24"/>
                <w:vertAlign w:val="baseline"/>
              </w:rPr>
              <w:t xml:space="preserve">                      POT-T-97-1</w:t>
            </w:r>
            <w:r>
              <w:rPr>
                <w:vertAlign w:val="baseline"/>
              </w:rPr>
            </w:r>
          </w:p>
          <w:p>
            <w:r>
              <w:rPr>
                <w:color w:val="000000"/>
                <w:rFonts w:ascii="Times New Roman" w:hAnsi="Times New Roman"/>
                <w:sz w:val="24"/>
                <w:vertAlign w:val="baseline"/>
              </w:rPr>
              <w:t xml:space="preserve">                      TRO-T-97-1</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27208</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October 20, 1997, </w:t>
      </w:r>
      <w:r>
        <w:rPr>
          <w:color w:val="000000"/>
          <w:rFonts w:ascii="Times New Roman" w:hAnsi="Times New Roman"/>
          <w:sz w:val="24"/>
          <w:vertAlign w:val="baseline"/>
        </w:rPr>
        <w:t xml:space="preserve">Century Telephone of Idaho, Inc., Potlatch Telephone Company and Troy Telephone Company (d.b.a. TDS Telecom)</w:t>
      </w:r>
      <w:r>
        <w:rPr>
          <w:color w:val="000000"/>
          <w:rFonts w:ascii="Times New Roman" w:hAnsi="Times New Roman"/>
          <w:sz w:val="24"/>
          <w:vertAlign w:val="baseline"/>
        </w:rPr>
        <w:t xml:space="preserve"> filed a joint Petition requesting that the Commission designate each company as both a rural telephone company and an eligible telecommunications carrier pursuant to the Telecommunications Act of 1996. </w:t>
      </w:r>
      <w:r>
        <w:rPr>
          <w:vertAlign w:val="baseline"/>
        </w:rPr>
      </w:r>
    </w:p>
    <w:p>
      <w:r>
        <w:rPr>
          <w:color w:val="000000"/>
          <w:rFonts w:ascii="Times New Roman" w:hAnsi="Times New Roman"/>
          <w:sz w:val="24"/>
          <w:vertAlign w:val="baseline"/>
        </w:rPr>
        <w:t xml:space="preserve">Before a telecommunications carrier may receive federal Universal Service Fund support, it must be designated as an eligible telecommunications carrier by the state Public Utilities Commission.   47 U.S.C. § 214(e).  Federal universal service support includes high-cost support, reimbursement for discounts provided to low-income customers in the Lifeline and Link Up programs, and support for health care providers. </w:t>
      </w:r>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color w:val="000000"/>
          <w:rFonts w:ascii="Times New Roman" w:hAnsi="Times New Roman"/>
          <w:sz w:val="24"/>
          <w:vertAlign w:val="baseline"/>
        </w:rPr>
        <w:t xml:space="preserve">YOU ARE HEREBY NOTIFIED that Century, Potlatch and Troy have requested designation as rural telephone companies as defined in Section 3 (a)(2)(47) of the Telecommunications Act of 1996.</w:t>
      </w:r>
      <w:r>
        <w:rPr>
          <w:vertAlign w:val="baseline"/>
        </w:rPr>
      </w:r>
    </w:p>
    <w:p>
      <w:r>
        <w:rPr>
          <w:color w:val="000000"/>
          <w:rFonts w:ascii="Times New Roman" w:hAnsi="Times New Roman"/>
          <w:sz w:val="24"/>
          <w:vertAlign w:val="baseline"/>
        </w:rPr>
        <w:t xml:space="preserve">YOU ARE FURTHER NOTIFIED that Section 3 (a)(2)(47) of the Telecommunications Act of 1996 defines a rural telephone company as</w:t>
      </w:r>
      <w:r>
        <w:rPr>
          <w:vertAlign w:val="baseline"/>
        </w:rPr>
      </w:r>
    </w:p>
    <w:p>
      <w:r>
        <w:rPr>
          <w:color w:val="000000"/>
          <w:rFonts w:ascii="Times New Roman" w:hAnsi="Times New Roman"/>
          <w:sz w:val="24"/>
          <w:vertAlign w:val="baseline"/>
        </w:rPr>
        <w:t xml:space="preserve">a local exchange carrier operating entity to the extent that such entity—</w:t>
      </w:r>
      <w:r>
        <w:rPr>
          <w:vertAlign w:val="baseline"/>
        </w:rPr>
      </w:r>
    </w:p>
    <w:p>
      <w:r>
        <w:rPr>
          <w:color w:val="000000"/>
          <w:rFonts w:ascii="Times New Roman" w:hAnsi="Times New Roman"/>
          <w:sz w:val="24"/>
          <w:vertAlign w:val="baseline"/>
        </w:rPr>
        <w:t xml:space="preserve">(A) provides common carrier service to any local exchange carrier study area that does not include either—</w:t>
      </w:r>
      <w:r>
        <w:rPr>
          <w:vertAlign w:val="baseline"/>
        </w:rPr>
      </w:r>
    </w:p>
    <w:p>
      <w:r>
        <w:rPr>
          <w:color w:val="000000"/>
          <w:rFonts w:ascii="Times New Roman" w:hAnsi="Times New Roman"/>
          <w:sz w:val="24"/>
          <w:vertAlign w:val="baseline"/>
        </w:rPr>
        <w:t xml:space="preserve">(i) any incorporated place of 10,000 habitants or more, or any part thereof, based on the most recently available population statistics of the Bureau of the Census; or</w:t>
      </w:r>
      <w:r>
        <w:rPr>
          <w:vertAlign w:val="baseline"/>
        </w:rPr>
      </w:r>
    </w:p>
    <w:p>
      <w:r>
        <w:rPr>
          <w:color w:val="000000"/>
          <w:rFonts w:ascii="Times New Roman" w:hAnsi="Times New Roman"/>
          <w:sz w:val="24"/>
          <w:vertAlign w:val="baseline"/>
        </w:rPr>
        <w:t xml:space="preserve">(ii) any territory, incorporated or unincorporated, included in an urbanized area, as defined by the Bureau of the Census as of August 10, 1993;</w:t>
      </w:r>
      <w:r>
        <w:rPr>
          <w:vertAlign w:val="baseline"/>
        </w:rPr>
      </w:r>
    </w:p>
    <w:p>
      <w:r>
        <w:rPr>
          <w:color w:val="000000"/>
          <w:rFonts w:ascii="Times New Roman" w:hAnsi="Times New Roman"/>
          <w:sz w:val="24"/>
          <w:vertAlign w:val="baseline"/>
        </w:rPr>
        <w:t xml:space="preserve">(B) provides telephone exchange service, including exchange access, to fewer than 50,000 access lines;</w:t>
      </w:r>
      <w:r>
        <w:rPr>
          <w:vertAlign w:val="baseline"/>
        </w:rPr>
      </w:r>
    </w:p>
    <w:p>
      <w:r>
        <w:rPr>
          <w:color w:val="000000"/>
          <w:rFonts w:ascii="Times New Roman" w:hAnsi="Times New Roman"/>
          <w:sz w:val="24"/>
          <w:vertAlign w:val="baseline"/>
        </w:rPr>
        <w:t xml:space="preserve">(C) provides telephone exchange service to any local exchange carrier study area with fewer than 100,000 access lines; or</w:t>
      </w:r>
      <w:r>
        <w:rPr>
          <w:vertAlign w:val="baseline"/>
        </w:rPr>
      </w:r>
    </w:p>
    <w:p>
      <w:r>
        <w:rPr>
          <w:color w:val="000000"/>
          <w:rFonts w:ascii="Times New Roman" w:hAnsi="Times New Roman"/>
          <w:sz w:val="24"/>
          <w:vertAlign w:val="baseline"/>
        </w:rPr>
        <w:t xml:space="preserve">(D) has less than 15 percent of its access lines in communities of more than 50,000 on the date of enactment of the Telecommunica­tions Act of 1996.</w:t>
      </w:r>
      <w:r>
        <w:rPr>
          <w:vertAlign w:val="baseline"/>
        </w:rPr>
      </w:r>
    </w:p>
    <w:p>
      <w:r>
        <w:rPr>
          <w:vertAlign w:val="baseline"/>
        </w:rPr>
      </w:r>
    </w:p>
    <w:p>
      <w:r>
        <w:rPr>
          <w:color w:val="000000"/>
          <w:rFonts w:ascii="Times New Roman" w:hAnsi="Times New Roman"/>
          <w:sz w:val="24"/>
          <w:vertAlign w:val="baseline"/>
        </w:rPr>
        <w:t xml:space="preserve">Designation as a rural telephone company exempts the rural telephone company from the Telecommunication Act’s interconnection and resale requirements until the company has received a bona fide request for interconnection, services, or network elements, and the state Public Utilities Commission determines that such request is technically feasible, consistent with Section 254 of the Telecommunications Act of 1996 and not unduly economically burdensome.  47 U.S.C. § 251(f)(1).</w:t>
      </w:r>
      <w:r>
        <w:rPr>
          <w:vertAlign w:val="baseline"/>
        </w:rPr>
      </w:r>
    </w:p>
    <w:p>
      <w:r>
        <w:rPr>
          <w:color w:val="000000"/>
          <w:rFonts w:ascii="Times New Roman" w:hAnsi="Times New Roman"/>
          <w:sz w:val="24"/>
          <w:vertAlign w:val="baseline"/>
        </w:rPr>
        <w:t xml:space="preserve">YOU ARE FURTHER NOTIFIED that Century, Potlatch and Troy have requested designation as eligible telecommunications carriers and have certified that each meets the requirements for designation as an eligible telecommunications carrier for its respective Idaho service area.  Section 214(e)(2) of the federal Telecommunications Act provides that a “State commission shall . . . upon request designate a common carrier that meets the requirements [established by the FCC] as an eligible telecommunications carrier for a service area designated by the State commission.”  47 U.S.C. § 214(e)(2). </w:t>
      </w:r>
      <w:r>
        <w:rPr>
          <w:vertAlign w:val="baseline"/>
        </w:rPr>
      </w:r>
    </w:p>
    <w:p>
      <w:r>
        <w:rPr>
          <w:color w:val="000000"/>
          <w:rFonts w:ascii="Times New Roman" w:hAnsi="Times New Roman"/>
          <w:sz w:val="24"/>
          <w:vertAlign w:val="baseline"/>
        </w:rPr>
        <w:t xml:space="preserve">YOU ARE FURTHER NOTIFIED that to be designated as an eligible telecommunications carrier, an LEC must offer the following services as specified in the FCC’s Universal Service Order, CC Docket No. 96-45 (FCC 97-157), released May 8, 1997: </w:t>
      </w:r>
      <w:r>
        <w:rPr>
          <w:vertAlign w:val="baseline"/>
        </w:rPr>
      </w:r>
    </w:p>
    <w:p>
      <w:r>
        <w:rPr>
          <w:color w:val="000000"/>
          <w:rFonts w:ascii="Times New Roman" w:hAnsi="Times New Roman"/>
          <w:sz w:val="24"/>
          <w:vertAlign w:val="baseline"/>
        </w:rPr>
        <w:t xml:space="preserve">single-party service</w:t>
      </w:r>
      <w:r>
        <w:rPr>
          <w:vertAlign w:val="baseline"/>
        </w:rPr>
      </w:r>
    </w:p>
    <w:p>
      <w:r>
        <w:rPr>
          <w:color w:val="000000"/>
          <w:rFonts w:ascii="Times New Roman" w:hAnsi="Times New Roman"/>
          <w:sz w:val="24"/>
          <w:vertAlign w:val="baseline"/>
        </w:rPr>
        <w:t xml:space="preserve">voice grade access to the public switched network</w:t>
      </w:r>
      <w:r>
        <w:rPr>
          <w:vertAlign w:val="baseline"/>
        </w:rPr>
      </w:r>
    </w:p>
    <w:p>
      <w:r>
        <w:rPr>
          <w:color w:val="000000"/>
          <w:rFonts w:ascii="Times New Roman" w:hAnsi="Times New Roman"/>
          <w:sz w:val="24"/>
          <w:vertAlign w:val="baseline"/>
        </w:rPr>
        <w:t xml:space="preserve">touch-tone service</w:t>
      </w:r>
      <w:r>
        <w:rPr>
          <w:vertAlign w:val="baseline"/>
        </w:rPr>
      </w:r>
    </w:p>
    <w:p>
      <w:r>
        <w:rPr>
          <w:color w:val="000000"/>
          <w:rFonts w:ascii="Times New Roman" w:hAnsi="Times New Roman"/>
          <w:sz w:val="24"/>
          <w:vertAlign w:val="baseline"/>
        </w:rPr>
        <w:t xml:space="preserve">access to emergency services, including 911 and E911</w:t>
      </w:r>
      <w:r>
        <w:rPr>
          <w:vertAlign w:val="baseline"/>
        </w:rPr>
      </w:r>
    </w:p>
    <w:p>
      <w:r>
        <w:rPr>
          <w:color w:val="000000"/>
          <w:rFonts w:ascii="Times New Roman" w:hAnsi="Times New Roman"/>
          <w:sz w:val="24"/>
          <w:vertAlign w:val="baseline"/>
        </w:rPr>
        <w:t xml:space="preserve">access to operator services</w:t>
      </w:r>
      <w:r>
        <w:rPr>
          <w:vertAlign w:val="baseline"/>
        </w:rPr>
      </w:r>
    </w:p>
    <w:p>
      <w:r>
        <w:rPr>
          <w:color w:val="000000"/>
          <w:rFonts w:ascii="Times New Roman" w:hAnsi="Times New Roman"/>
          <w:sz w:val="24"/>
          <w:vertAlign w:val="baseline"/>
        </w:rPr>
        <w:t xml:space="preserve">access to interexchange service</w:t>
      </w:r>
      <w:r>
        <w:rPr>
          <w:vertAlign w:val="baseline"/>
        </w:rPr>
      </w:r>
    </w:p>
    <w:p>
      <w:r>
        <w:rPr>
          <w:color w:val="000000"/>
          <w:rFonts w:ascii="Times New Roman" w:hAnsi="Times New Roman"/>
          <w:sz w:val="24"/>
          <w:vertAlign w:val="baseline"/>
        </w:rPr>
        <w:t xml:space="preserve">access to directory assistance</w:t>
      </w:r>
      <w:r>
        <w:rPr>
          <w:vertAlign w:val="baseline"/>
        </w:rPr>
      </w:r>
    </w:p>
    <w:p>
      <w:r>
        <w:rPr>
          <w:color w:val="000000"/>
          <w:rFonts w:ascii="Times New Roman" w:hAnsi="Times New Roman"/>
          <w:sz w:val="24"/>
          <w:vertAlign w:val="baseline"/>
        </w:rPr>
        <w:t xml:space="preserve">toll limitation services for qualifying low-income consumers</w:t>
      </w:r>
      <w:r>
        <w:rPr>
          <w:vertAlign w:val="baseline"/>
        </w:rPr>
      </w:r>
    </w:p>
    <w:p>
      <w:r>
        <w:rPr>
          <w:vertAlign w:val="baseline"/>
        </w:rPr>
      </w:r>
    </w:p>
    <w:p>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 61-82.  Century, Potlatch and Troy assert that, with the exception of toll limitation services for qualifying low income consumers as defined by the FCC, each offers the above-listed services using its own respective facilities.  47 U.S.C. § 214(e)(1)(A) and (1)(B).  Century, Potlatch and Troy further assert that each offers Lifeline services consistent with Idaho statutes.  </w:t>
      </w:r>
      <w:r>
        <w:rPr>
          <w:vertAlign w:val="baseline"/>
        </w:rPr>
      </w:r>
    </w:p>
    <w:p>
      <w:r>
        <w:rPr>
          <w:color w:val="000000"/>
          <w:rFonts w:ascii="Times New Roman" w:hAnsi="Times New Roman"/>
          <w:sz w:val="24"/>
          <w:vertAlign w:val="baseline"/>
        </w:rPr>
        <w:t xml:space="preserve">YOU ARE FURTHER NOTIFIED that</w:t>
      </w:r>
      <w:r>
        <w:rPr>
          <w:color w:val="000000"/>
          <w:rFonts w:ascii="Times New Roman" w:hAnsi="Times New Roman"/>
          <w:sz w:val="24"/>
          <w:vertAlign w:val="baseline"/>
        </w:rPr>
        <w:t xml:space="preserve">Century, Potlatch and Troy </w:t>
      </w:r>
      <w:r>
        <w:rPr>
          <w:color w:val="000000"/>
          <w:rFonts w:ascii="Times New Roman" w:hAnsi="Times New Roman"/>
          <w:sz w:val="24"/>
          <w:vertAlign w:val="baseline"/>
        </w:rPr>
        <w:t xml:space="preserve">ask that the Commission grant each a waiver of “toll limitation services”</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in accordance with the FCC’s Universal Service Order, CC Docket No. 96-45 (FCC 97-157), released May 8, 1997</w:t>
      </w:r>
      <w:r>
        <w:rPr>
          <w:color w:val="000000"/>
          <w:rFonts w:ascii="Times New Roman" w:hAnsi="Times New Roman"/>
          <w:sz w:val="24"/>
          <w:vertAlign w:val="baseline"/>
        </w:rPr>
        <w:t xml:space="preserve">, ¶ 388</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Century, Potlatch and Troy state that each provides “toll blocking” but none has the technical ability to provide toll control.  Petition at p. 3;  Joint Testimony of Gail Long and Gary Bailey at p. 3</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The FCC defines “toll limitation” as including both toll blocking and toll control.  According to FCC regulation, “toll limitation” is “a service provided by carriers that allows consumers to specify a certain amount of toll usage that may be incurred on their telecommunications channel per month or per billing period.”  47 C.F.R. 54.400(a)(4).  Century, Potlatch and Troy</w:t>
      </w:r>
      <w:r>
        <w:rPr>
          <w:color w:val="000000"/>
          <w:rFonts w:ascii="Times New Roman" w:hAnsi="Times New Roman"/>
          <w:sz w:val="24"/>
          <w:vertAlign w:val="baseline"/>
        </w:rPr>
        <w:t xml:space="preserve"> request the Commission grant each a waiver of the “toll limitation” requirement. </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Petition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Petition shall be mailed to the Commission and the Petitioners at the addresses reflected below:</w:t>
      </w:r>
      <w:r>
        <w:rPr>
          <w:vertAlign w:val="baseline"/>
        </w:rPr>
      </w:r>
    </w:p>
    <w:p>
      <w:r>
        <w:rPr>
          <w:color w:val="000000"/>
          <w:rFonts w:ascii="Times New Roman" w:hAnsi="Times New Roman"/>
          <w:sz w:val="20"/>
          <w:vertAlign w:val="baseline"/>
        </w:rPr>
        <w:t xml:space="preserve">COMMISSION SECRETARYMORGAN W. RICHARDS</w:t>
      </w:r>
      <w:r>
        <w:rPr>
          <w:vertAlign w:val="baseline"/>
        </w:rPr>
      </w:r>
    </w:p>
    <w:p>
      <w:r>
        <w:rPr>
          <w:color w:val="000000"/>
          <w:rFonts w:ascii="Times New Roman" w:hAnsi="Times New Roman"/>
          <w:sz w:val="20"/>
          <w:vertAlign w:val="baseline"/>
        </w:rPr>
        <w:t xml:space="preserve">IDAHO PUBLIC UTILITIES COMMISSIONMOFFAT, THOMAS et al</w:t>
      </w:r>
      <w:r>
        <w:rPr>
          <w:vertAlign w:val="baseline"/>
        </w:rPr>
      </w:r>
    </w:p>
    <w:p>
      <w:r>
        <w:rPr>
          <w:color w:val="000000"/>
          <w:rFonts w:ascii="Times New Roman" w:hAnsi="Times New Roman"/>
          <w:sz w:val="20"/>
          <w:vertAlign w:val="baseline"/>
        </w:rPr>
        <w:t xml:space="preserve">PO BOX 83720P.O. BOX 829</w:t>
      </w:r>
      <w:r>
        <w:rPr>
          <w:vertAlign w:val="baseline"/>
        </w:rPr>
      </w:r>
    </w:p>
    <w:p>
      <w:r>
        <w:rPr>
          <w:color w:val="000000"/>
          <w:rFonts w:ascii="Times New Roman" w:hAnsi="Times New Roman"/>
          <w:sz w:val="20"/>
          <w:vertAlign w:val="baseline"/>
        </w:rPr>
        <w:t xml:space="preserve">BOISE, IDAHO  83720-0074BOISE, ID 83701</w:t>
      </w:r>
      <w:r>
        <w:rPr>
          <w:vertAlign w:val="baseline"/>
        </w:rPr>
      </w:r>
    </w:p>
    <w:p>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472 W WASHINGTON ST</w:t>
      </w:r>
      <w:r>
        <w:rPr>
          <w:vertAlign w:val="baseline"/>
        </w:rPr>
      </w:r>
    </w:p>
    <w:p>
      <w:r>
        <w:rPr>
          <w:color w:val="000000"/>
          <w:rFonts w:ascii="Times New Roman" w:hAnsi="Times New Roman"/>
          <w:sz w:val="20"/>
          <w:vertAlign w:val="baseline"/>
        </w:rPr>
        <w:t xml:space="preserve">BOISE, IDAHO  83702-5983</w:t>
      </w:r>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Petition has been filed with the Commission and is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or Title 62 of the Idaho Code and that the Commis­sion may enter any final Order consistent with its authority under Title 61 or Title 62.</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color w:val="000000"/>
          <w:rFonts w:ascii="Times New Roman" w:hAnsi="Times New Roman"/>
          <w:sz w:val="24"/>
          <w:vertAlign w:val="baseline"/>
        </w:rPr>
        <w:t xml:space="preserve">YOU ARE FURTHER NOTIFIED that the Commission has jurisdiction over this matter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62-615(1).</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matter be processed under Modified Procedure.  Persons interested in submitting written comments in this matter should do so within twenty-one (21) days from the date of this Order.</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6"/>
          <w:vertAlign w:val="baseline"/>
        </w:rPr>
        <w:t xml:space="preserve">bls/O-cent971.cc</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“Toll blocking” is currently available in most Idaho exchanges and simply prohibits the customer from making long-distance calls.  “Toll control” permits a customer to limit the toll charges he or she can incur during a billing period to a preset amount.  This latter service would require a substantial integration between the CO switch and the billing records of the customer.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