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 CK</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20, 1997</w:t>
      </w:r>
      <w:r>
        <w:rPr/>
      </w:r>
    </w:p>
    <w:p>
      <w:r>
        <w:rPr/>
      </w:r>
    </w:p>
    <w:p>
      <w:r>
        <w:rPr>
          <w:color w:val="000000"/>
          <w:rFonts w:ascii="Times New Roman" w:hAnsi="Times New Roman"/>
          <w:sz w:val="24"/>
        </w:rPr>
        <w:t xml:space="preserve">RE:CASE NO. ROK-T-97-1; APPLICATION OF DIRECT COMMUNICATIONS ROCKLAND, INC. FOR AUTHORITY TO INCREASE LOCAL EXCHANGE RATES AND DISBURSEMENTS FROM THE IDAHO USF</w:t>
      </w:r>
      <w:r>
        <w:rPr/>
      </w:r>
    </w:p>
    <w:p>
      <w:r>
        <w:rPr/>
      </w:r>
    </w:p>
    <w:p>
      <w:r>
        <w:rPr/>
      </w:r>
    </w:p>
    <w:p>
      <w:r>
        <w:rPr>
          <w:color w:val="000000"/>
          <w:rFonts w:ascii="Times New Roman" w:hAnsi="Times New Roman"/>
          <w:sz w:val="24"/>
        </w:rPr>
        <w:t xml:space="preserve">On October 23, 1997, Direct Communications Rockland, Inc. (Rockland) filed an Application with the Commission seeking authority to increase its local exchange rates and to receive increased distributions from the Idaho Universal Service Fund (USF).  </w:t>
      </w:r>
      <w:r>
        <w:rPr/>
      </w:r>
    </w:p>
    <w:p>
      <w:r>
        <w:rPr>
          <w:color w:val="000000"/>
          <w:rFonts w:ascii="Times New Roman" w:hAnsi="Times New Roman"/>
          <w:sz w:val="24"/>
        </w:rPr>
        <w:t xml:space="preserve">Rockland’s proposed increase in its local exchange rates will go into effect on December 1, 1997.  Staff recommends that the Commission issue an Order suspending that for the maximum period of thirty (30) days plus five (5) months or until such time as the Commission can resolve Rockland’s rate filing.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an Order suspending the proposed effective date of Rockland’s Application?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