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APPLICATION OF DIRECT COMMUNICATIONS ROCKLAND, INC. AND DIRECT COMMUNICATIONS LAKESIDE COMMUNICATIONS, INC. FOR AN ORDER AUTHORIZING THE MERGER OF THE APPLICA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NT COMPANIES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.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                                                                                      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ROK-T-98-1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ERRATA TO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NO.</w:t>
            </w:r>
            <w:r>
              <w:rPr>
                <w:color w:val="000000"/>
                <w:rFonts w:ascii="Times New Roman" w:hAnsi="Times New Roman"/>
                <w:sz w:val="20"/>
                <w:vertAlign w:val="baseline"/>
              </w:rPr>
              <w:t xml:space="preserve">  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27866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January 14, 1999, the Commission issued Order No. 27866 in Case No. ROK-T-98-1, the following changes should be made to that Order. 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ORDER Section, Paragraph 4, reads: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“IT IS FURTHER ORDERED that the Joint Application for an Amended Certificate of Public Convenience and Necessity for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Direct Communications Rockland, Inc.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to reflect the merger and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transfer of Direct Communications Lakeside, Inc.’s Certificate of Public Convenience and Necessity to Rockland.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”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Should read: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“IT IS FURTHER ORDERED that the Joint Application for an Amended Certificate of Public Convenience and Necessity for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Direct Communications Rockland, Inc.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to reflect the merger and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transfer of Direct Communications Lakeside, Inc.’s Certificate of Public Convenience and Necessity to Rockland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be granted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.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”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                day of January 1999.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 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8"/>
          <w:vertAlign w:val="baseline"/>
        </w:rPr>
        <w:t xml:space="preserve">bls/O:rokt983.err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January 25, 1999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