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December 8, 1997</w:t>
      </w:r>
      <w:r>
        <w:rPr/>
      </w:r>
    </w:p>
    <w:p>
      <w:r>
        <w:rPr/>
      </w:r>
    </w:p>
    <w:p>
      <w:r>
        <w:rPr/>
      </w:r>
    </w:p>
    <w:p>
      <w:r>
        <w:rPr>
          <w:color w:val="000000"/>
          <w:rFonts w:ascii="Times New Roman" w:hAnsi="Times New Roman"/>
          <w:sz w:val="24"/>
        </w:rPr>
        <w:t xml:space="preserve">Dean J.  Miller</w:t>
      </w:r>
      <w:r>
        <w:rPr/>
      </w:r>
    </w:p>
    <w:p>
      <w:r>
        <w:rPr>
          <w:color w:val="000000"/>
          <w:rFonts w:ascii="Times New Roman" w:hAnsi="Times New Roman"/>
          <w:sz w:val="24"/>
        </w:rPr>
        <w:t xml:space="preserve">McDevitt &amp; Miller</w:t>
      </w:r>
      <w:r>
        <w:rPr/>
      </w:r>
    </w:p>
    <w:p>
      <w:r>
        <w:rPr>
          <w:color w:val="000000"/>
          <w:rFonts w:ascii="Times New Roman" w:hAnsi="Times New Roman"/>
          <w:sz w:val="24"/>
        </w:rPr>
        <w:t xml:space="preserve">537 W Bannock, Ste 215</w:t>
      </w:r>
      <w:r>
        <w:rPr/>
      </w:r>
    </w:p>
    <w:p>
      <w:r>
        <w:rPr>
          <w:color w:val="000000"/>
          <w:rFonts w:ascii="Times New Roman" w:hAnsi="Times New Roman"/>
          <w:sz w:val="24"/>
        </w:rPr>
        <w:t xml:space="preserve">PO Box 2564</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Greg Harwood</w:t>
      </w:r>
      <w:r>
        <w:rPr/>
      </w:r>
    </w:p>
    <w:p>
      <w:r>
        <w:rPr>
          <w:color w:val="000000"/>
          <w:rFonts w:ascii="Times New Roman" w:hAnsi="Times New Roman"/>
          <w:sz w:val="24"/>
        </w:rPr>
        <w:t xml:space="preserve">Davis Wright Tremaine LLP</w:t>
      </w:r>
      <w:r>
        <w:rPr/>
      </w:r>
    </w:p>
    <w:p>
      <w:r>
        <w:rPr>
          <w:color w:val="000000"/>
          <w:rFonts w:ascii="Times New Roman" w:hAnsi="Times New Roman"/>
          <w:sz w:val="24"/>
        </w:rPr>
        <w:t xml:space="preserve">877 W Main Street, Ste 604</w:t>
      </w:r>
      <w:r>
        <w:rPr/>
      </w:r>
    </w:p>
    <w:p>
      <w:r>
        <w:rPr>
          <w:color w:val="000000"/>
          <w:rFonts w:ascii="Times New Roman" w:hAnsi="Times New Roman"/>
          <w:sz w:val="24"/>
        </w:rPr>
        <w:t xml:space="preserve">Boise, Idaho 83702-8200</w:t>
      </w:r>
      <w:r>
        <w:rPr/>
      </w:r>
    </w:p>
    <w:p>
      <w:r>
        <w:rPr/>
      </w:r>
    </w:p>
    <w:p>
      <w:r>
        <w:rPr>
          <w:color w:val="000000"/>
          <w:rFonts w:ascii="Times New Roman" w:hAnsi="Times New Roman"/>
          <w:sz w:val="24"/>
        </w:rPr>
        <w:t xml:space="preserve">RE: Supreme Court Appeal of Centrex Plus Case  </w:t>
      </w:r>
      <w:r>
        <w:rPr/>
      </w:r>
    </w:p>
    <w:p>
      <w:r>
        <w:rPr>
          <w:color w:val="000000"/>
          <w:rFonts w:ascii="Times New Roman" w:hAnsi="Times New Roman"/>
          <w:sz w:val="24"/>
        </w:rPr>
        <w:t xml:space="preserve">Supreme Court No. 23633/23634</w:t>
      </w:r>
      <w:r>
        <w:rPr/>
      </w:r>
    </w:p>
    <w:p>
      <w:r>
        <w:rPr/>
      </w:r>
    </w:p>
    <w:p>
      <w:r>
        <w:rPr>
          <w:color w:val="000000"/>
          <w:rFonts w:ascii="Times New Roman" w:hAnsi="Times New Roman"/>
          <w:sz w:val="24"/>
        </w:rPr>
        <w:t xml:space="preserve">Dear Joe Miller and Greg Harwood:</w:t>
      </w:r>
      <w:r>
        <w:rPr/>
      </w:r>
    </w:p>
    <w:p>
      <w:r>
        <w:rPr/>
      </w:r>
    </w:p>
    <w:p>
      <w:r>
        <w:rPr>
          <w:color w:val="000000"/>
          <w:rFonts w:ascii="Times New Roman" w:hAnsi="Times New Roman"/>
          <w:sz w:val="24"/>
        </w:rPr>
        <w:t xml:space="preserve">At page 13 of the Appellant’s Reply Brief filed in the appeal of the Centrex Plus case, the following state­ments appear: “Significantly, every other state commission or court in the U S WEST 14-state region that has considered the issue reached the opposite conclusion.  The Idaho Public Utilities Commission is a minority of one in its belief that discrimination does not exist.”  In a previous conversation with Joe Miller, I indicated these statements were inaccurate because other state commissions reached the same conclusion as the IPUC in regard to the withdrawing of Centrex Service.  I have since obtained copies of the relevant decisions from the Public Service Commission of Montana and the Nebraska Public Service Commission, both of which reached the same conclusion as the IPUC regarding the withdrawal of Centrex Service.  Copies of the decisions are enclosed for your convenience.</w:t>
      </w:r>
      <w:r>
        <w:rPr/>
      </w:r>
    </w:p>
    <w:p>
      <w:r>
        <w:rPr>
          <w:color w:val="000000"/>
          <w:rFonts w:ascii="Times New Roman" w:hAnsi="Times New Roman"/>
          <w:sz w:val="24"/>
        </w:rPr>
        <w:t xml:space="preserve">Not only are the representations in the Reply Brief false, but they are particularly troubling in light of the fact that both AT&amp;T and MCI were parties in the Montana and Nebraska cases.  I understand </w:t>
      </w:r>
      <w:r>
        <w:rPr/>
      </w:r>
    </w:p>
    <w:p>
      <w:r>
        <w:rPr>
          <w:color w:val="000000"/>
          <w:rFonts w:ascii="Times New Roman" w:hAnsi="Times New Roman"/>
          <w:sz w:val="24"/>
        </w:rPr>
        <w:t xml:space="preserve">from my conversation with Mr. Miller, and consistent with an attorney’s obligation to not misrepresent facts to a tribunal, that the Appellants will file a correction with the Idaho Supreme Court.</w:t>
      </w:r>
      <w:r>
        <w:rPr/>
      </w:r>
    </w:p>
    <w:p>
      <w:r>
        <w:rPr>
          <w:color w:val="000000"/>
          <w:rFonts w:ascii="Times New Roman" w:hAnsi="Times New Roman"/>
          <w:sz w:val="24"/>
        </w:rPr>
        <w:t xml:space="preserve">I appreciate your prompt attention to this matter.</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WBS/vld:</w:t>
      </w:r>
      <w:r>
        <w:rPr>
          <w:color w:val="000000"/>
          <w:rFonts w:ascii="Times New Roman" w:hAnsi="Times New Roman"/>
          <w:sz w:val="16"/>
        </w:rPr>
        <w:t xml:space="preserve">L:miller.ws</w:t>
      </w:r>
      <w:r>
        <w:rPr/>
      </w:r>
    </w:p>
    <w:p>
      <w:r>
        <w:rPr/>
      </w:r>
    </w:p>
    <w:p>
      <w:r>
        <w:rPr>
          <w:color w:val="000000"/>
          <w:rFonts w:ascii="Times New Roman" w:hAnsi="Times New Roman"/>
          <w:sz w:val="22"/>
        </w:rPr>
        <w:t xml:space="preserve">Enclosures</w:t>
      </w:r>
      <w:r>
        <w:rPr/>
      </w:r>
    </w:p>
    <w:p>
      <w:r>
        <w:rPr/>
      </w:r>
    </w:p>
    <w:p>
      <w:r>
        <w:rPr>
          <w:color w:val="000000"/>
          <w:rFonts w:ascii="Times New Roman" w:hAnsi="Times New Roman"/>
          <w:sz w:val="22"/>
        </w:rPr>
        <w:t xml:space="preserve">cc:Frederick Lyons</w:t>
      </w:r>
      <w:r>
        <w:rPr/>
      </w:r>
    </w:p>
    <w:p>
      <w:r>
        <w:rPr>
          <w:color w:val="000000"/>
          <w:rFonts w:ascii="Times New Roman" w:hAnsi="Times New Roman"/>
          <w:sz w:val="22"/>
        </w:rPr>
        <w:t xml:space="preserve">Clerk of Supreme Court</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