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  (TT)" w:hAnsi="Times New Roman  (TT)"/>
          <w:sz w:val="24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TO:COMMISSIONER NELSON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COMMISSIONER HANSEN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DAVE SCHUNKE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JOE CUSICK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GARY RICHARDSON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FROM:WELDON STUTZMAN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DATE:SEPTEMBER 18, 1995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RE:CASE NO. USW-S-95-6; GELLERT COMPANY V. U S WEST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REGARDING ASSIGNMENT OF A TELEPHONE NUMBER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On July 28, 1995, the Gellert Company (Gellert) filed a Complaint against U S WEST Communications regarding the use by Gellert of a telephone number previously assigned to a competitor of Gellert.  The competitor, Industrial Ventilation, Inc. (IVI), learned that Gellert had obtained the use of IVI’s previous Boise telephone number and complained to U S WEST.  U S WEST thereafter stated its intention to place an intercept on the telephone number to notify callers of both IVI’s and Gellert’s telephone numbers.  On August 22, 1995, U S WEST filed an Answer to Gellert’s Complaint.  IVI is not a party to this action, but has written to the Commission urging the Commission to “confirm the decision of U S WEST to continue and forever intercept calls to the phone number.”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Since filing the pleadings, the parties have agreed to a resolution.  U S WEST has agreed to allow Gellert to retain the number and to not place an intercept on it.  Each party will pay its own costs and attorney fees.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Because it has been resolved by the parties, should the Commission by Minute Entry or Order dismiss this case? 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Weldon B. Stutzman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16"/>
        </w:rPr>
        <w:t xml:space="preserve">vld\M-USW-S-95-6.WS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