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ORDER NO.  26626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7, 1996, the Commission issued its Notice of Application concerning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request for a general rate increase for its Title 61 services.  Title 61 services are generally comprised of basic local exchange services provided to all residential and business customers with five or fewer telephone lines.  In its Notice of Application, the Commission specified a deadline for intervention and scheduled the prehearing conference in this matter for September 18, 1996.  The purpose of the prehearing conference was to discuss a hearing schedule and to address other preliminary matters.  </w:t>
      </w:r>
      <w:r>
        <w:rPr>
          <w:vertAlign w:val="baseline"/>
        </w:rPr>
      </w:r>
    </w:p>
    <w:p>
      <w:r>
        <w:rPr>
          <w:vertAlign w:val="baseline"/>
        </w:rPr>
      </w:r>
    </w:p>
    <w:p>
      <w:r>
        <w:rPr>
          <w:color w:val="000000"/>
          <w:rFonts w:ascii="Times New Roman" w:hAnsi="Times New Roman"/>
          <w:sz w:val="24"/>
          <w:vertAlign w:val="baseline"/>
        </w:rPr>
        <w:t xml:space="preserve">PREHEARING CONFERENCE</w:t>
      </w:r>
      <w:r>
        <w:rPr>
          <w:vertAlign w:val="baseline"/>
        </w:rPr>
      </w:r>
    </w:p>
    <w:p>
      <w:r>
        <w:rPr>
          <w:color w:val="000000"/>
          <w:rFonts w:ascii="Times New Roman" w:hAnsi="Times New Roman"/>
          <w:sz w:val="24"/>
          <w:vertAlign w:val="baseline"/>
        </w:rPr>
        <w:t xml:space="preserve">The following parties entered appearances at the prehearing conference: </w:t>
      </w:r>
      <w:r>
        <w:rPr>
          <w:color w:val="000000"/>
          <w:rFonts w:ascii="Times New Roman" w:hAnsi="Times New Roman"/>
          <w:sz w:val="24"/>
          <w:vertAlign w:val="baseline"/>
        </w:rPr>
        <w:t xml:space="preserve">U S WEST, the Commission Staff, the Idaho Cable Telecommunications Association, Idaho Consumer Affairs,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MCI, Idaho Citizens Coalition, and the Idaho Telephone Association.  The following parties were not in attendance: Century Telephone of Idaho and TDS Telecom, Northwest Pay Telephone Association</w:t>
      </w:r>
      <w:r>
        <w:rPr>
          <w:color w:val="000000"/>
          <w:rFonts w:ascii="Times New Roman" w:hAnsi="Times New Roman"/>
          <w:sz w:val="24"/>
          <w:vertAlign w:val="baseline"/>
        </w:rPr>
        <w:t xml:space="preserve">, American Association of Retired Persons, GTE Northwest, Inc. and Mr. David Hoffman.  The parties appearing at the prehearing conference proposed an extensive discovery and prefiled testimony schedule in this matter.  </w:t>
      </w:r>
      <w:r>
        <w:rPr>
          <w:vertAlign w:val="baseline"/>
        </w:rPr>
      </w:r>
    </w:p>
    <w:p>
      <w:r>
        <w:rPr>
          <w:color w:val="000000"/>
          <w:rFonts w:ascii="Times New Roman" w:hAnsi="Times New Roman"/>
          <w:sz w:val="24"/>
          <w:vertAlign w:val="baseline"/>
        </w:rPr>
        <w:t xml:space="preserve">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requests for general rate increases must be decided and an Order issued no later than 30 days plus five months following the proposed effective date for the rate increase.   The Company’s requested rate increase was proposed to be effective on September 1, 1996.  In Order No. 26552 issued August 7, 1996, the Commission suspended the rates contained in this Application for a period of 30 days plus 5 months from September 1, 1996, or until such time as the Commission issued its Order accepting, rejecting, or modifying the proposed rates.</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also provides that for good cause on the record, the Commission may grant an additional sixty days to consider the rate increase.  By letter dated September 24, 1996, counsel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consented to a suspension of the rates for an additional sixty days so that the Commission might consider post hearing briefs.  Based upon the consent of the applicant and the other parties, the Commission finds that there is good cause on the record to authorize a suspension of the rates contained in the Company’s Application for an additional period of sixty days, or for a period not to exceed May 1, 1997.  </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convene a hearing on this matter on </w:t>
      </w:r>
      <w:r>
        <w:rPr>
          <w:color w:val="000000"/>
          <w:rFonts w:ascii="Times New Roman" w:hAnsi="Times New Roman"/>
          <w:sz w:val="24"/>
          <w:vertAlign w:val="baseline"/>
        </w:rPr>
        <w:t xml:space="preserve">MONDAY, JANUARY 13, 1997, AT 9:30 A.M., AT THE COMMISSION HEARING ROOM LOCATED AT 472 WEST WASHINGTON STREET, BOISE, IDAHO 83702, (208) 334-0300. </w:t>
      </w:r>
      <w:r>
        <w:rPr>
          <w:color w:val="000000"/>
          <w:rFonts w:ascii="Times New Roman" w:hAnsi="Times New Roman"/>
          <w:sz w:val="24"/>
          <w:vertAlign w:val="baseline"/>
        </w:rPr>
        <w:t xml:space="preserve">  The purpose of the hearing will be to take the evidence of the parties in this case.  The Commission will issue a Notice of Public Hearings for the purpose of obtaining public comment in this matter at a later date.</w:t>
      </w:r>
      <w:r>
        <w:rPr>
          <w:vertAlign w:val="baseline"/>
        </w:rPr>
      </w:r>
    </w:p>
    <w:p>
      <w:r>
        <w:rPr>
          <w:color w:val="000000"/>
          <w:rFonts w:ascii="Times New Roman" w:hAnsi="Times New Roman"/>
          <w:sz w:val="24"/>
          <w:vertAlign w:val="baseline"/>
        </w:rPr>
        <w:t xml:space="preserve">Based upon the agreement of the parties, the Commission adopts the following procedural schedule in this matter.  </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15,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19, 1996</w:t>
            </w:r>
            <w:r>
              <w:rPr>
                <w:vertAlign w:val="baseline"/>
              </w:rPr>
            </w:r>
          </w:p>
          <w:p>
            <w:r>
              <w:rPr>
                <w:vertAlign w:val="baseline"/>
              </w:rPr>
            </w:r>
          </w:p>
          <w:p>
            <w:r>
              <w:rPr>
                <w:color w:val="000000"/>
                <w:rFonts w:ascii="Times New Roman" w:hAnsi="Times New Roman"/>
                <w:sz w:val="24"/>
                <w:vertAlign w:val="baseline"/>
              </w:rPr>
              <w:t xml:space="preserve">December 10, 1996</w:t>
            </w:r>
            <w:r>
              <w:rPr>
                <w:vertAlign w:val="baseline"/>
              </w:rPr>
            </w:r>
          </w:p>
          <w:p>
            <w:r>
              <w:rPr>
                <w:vertAlign w:val="baseline"/>
              </w:rPr>
            </w:r>
          </w:p>
          <w:p>
            <w:r>
              <w:rPr>
                <w:color w:val="000000"/>
                <w:rFonts w:ascii="Times New Roman" w:hAnsi="Times New Roman"/>
                <w:sz w:val="24"/>
                <w:vertAlign w:val="baseline"/>
              </w:rPr>
              <w:t xml:space="preserve">December 23, 1996 </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the submission of Staff and Intervenor discovery.  (14 day answer)</w:t>
            </w:r>
            <w:r>
              <w:rPr>
                <w:vertAlign w:val="baseline"/>
              </w:rPr>
            </w:r>
          </w:p>
          <w:p>
            <w:r>
              <w:rPr>
                <w:vertAlign w:val="baseline"/>
              </w:rPr>
            </w:r>
          </w:p>
          <w:p>
            <w:r>
              <w:rPr>
                <w:color w:val="000000"/>
                <w:rFonts w:ascii="Times New Roman" w:hAnsi="Times New Roman"/>
                <w:sz w:val="24"/>
                <w:vertAlign w:val="baseline"/>
              </w:rPr>
              <w:t xml:space="preserve">Staff and Intervenor prefile direct testimony.</w:t>
            </w:r>
            <w:r>
              <w:rPr>
                <w:vertAlign w:val="baseline"/>
              </w:rPr>
            </w:r>
          </w:p>
          <w:p>
            <w:r>
              <w:rPr>
                <w:vertAlign w:val="baseline"/>
              </w:rPr>
            </w:r>
          </w:p>
          <w:p>
            <w:r>
              <w:rPr>
                <w:color w:val="000000"/>
                <w:rFonts w:ascii="Times New Roman" w:hAnsi="Times New Roman"/>
                <w:sz w:val="24"/>
                <w:vertAlign w:val="baseline"/>
              </w:rPr>
              <w:t xml:space="preserve">Deadline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rebuttal.</w:t>
            </w:r>
            <w:r>
              <w:rPr>
                <w:vertAlign w:val="baseline"/>
              </w:rPr>
            </w:r>
          </w:p>
          <w:p>
            <w:r>
              <w:rPr>
                <w:vertAlign w:val="baseline"/>
              </w:rPr>
            </w:r>
          </w:p>
          <w:p>
            <w:r>
              <w:rPr>
                <w:color w:val="000000"/>
                <w:rFonts w:ascii="Times New Roman" w:hAnsi="Times New Roman"/>
                <w:sz w:val="24"/>
                <w:vertAlign w:val="baseline"/>
              </w:rPr>
              <w:t xml:space="preserve">Deadline for Staff &amp; Intervenor Rebuttal (in hand to </w:t>
            </w:r>
            <w:r>
              <w:rPr>
                <w:color w:val="000000"/>
                <w:rFonts w:ascii="Times New Roman" w:hAnsi="Times New Roman"/>
                <w:sz w:val="24"/>
                <w:vertAlign w:val="baseline"/>
              </w:rPr>
              <w:t xml:space="preserve">U S WEST)</w:t>
            </w:r>
            <w:r>
              <w:rPr>
                <w:vertAlign w:val="baseline"/>
              </w:rPr>
            </w:r>
          </w:p>
        </w:tc>
      </w:tr>
    </w:tbl>
    <w:p>
      <w:pP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December 30,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January 7, 1997</w:t>
            </w:r>
            <w:r>
              <w:rPr>
                <w:vertAlign w:val="baseline"/>
              </w:rPr>
            </w:r>
          </w:p>
          <w:p>
            <w:r>
              <w:rPr>
                <w:vertAlign w:val="baseline"/>
              </w:rPr>
            </w:r>
          </w:p>
          <w:p>
            <w:r>
              <w:rPr>
                <w:color w:val="000000"/>
                <w:rFonts w:ascii="Times New Roman" w:hAnsi="Times New Roman"/>
                <w:sz w:val="24"/>
                <w:vertAlign w:val="baseline"/>
              </w:rPr>
              <w:t xml:space="preserve">January 13-17, 1997</w:t>
            </w:r>
            <w:r>
              <w:rPr>
                <w:vertAlign w:val="baseline"/>
              </w:rPr>
            </w:r>
          </w:p>
          <w:p>
            <w:r>
              <w:rPr>
                <w:vertAlign w:val="baseline"/>
              </w:rPr>
            </w:r>
          </w:p>
          <w:p>
            <w:r>
              <w:rPr>
                <w:color w:val="000000"/>
                <w:rFonts w:ascii="Times New Roman" w:hAnsi="Times New Roman"/>
                <w:sz w:val="24"/>
                <w:vertAlign w:val="baseline"/>
              </w:rPr>
              <w:t xml:space="preserve">February 26, 1997</w:t>
            </w:r>
            <w:r>
              <w:rPr>
                <w:vertAlign w:val="baseline"/>
              </w:rPr>
            </w:r>
          </w:p>
          <w:p>
            <w:r>
              <w:rPr>
                <w:vertAlign w:val="baseline"/>
              </w:rPr>
            </w:r>
          </w:p>
          <w:p>
            <w:r>
              <w:rPr>
                <w:color w:val="000000"/>
                <w:rFonts w:ascii="Times New Roman" w:hAnsi="Times New Roman"/>
                <w:sz w:val="24"/>
                <w:vertAlign w:val="baseline"/>
              </w:rPr>
              <w:t xml:space="preserve">March 12, 1997</w:t>
            </w:r>
            <w:r>
              <w:rPr>
                <w:vertAlign w:val="baseline"/>
              </w:rPr>
            </w:r>
          </w:p>
          <w:p>
            <w:r>
              <w:rPr>
                <w:vertAlign w:val="baseline"/>
              </w:rPr>
            </w:r>
          </w:p>
          <w:p>
            <w:r>
              <w:rPr>
                <w:color w:val="000000"/>
                <w:rFonts w:ascii="Times New Roman" w:hAnsi="Times New Roman"/>
                <w:sz w:val="24"/>
                <w:vertAlign w:val="baseline"/>
              </w:rPr>
              <w:t xml:space="preserve">May 1, 1997 </w:t>
            </w:r>
            <w:r>
              <w:rPr>
                <w:vertAlign w:val="baseline"/>
              </w:rPr>
            </w:r>
          </w:p>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serve supplemental discovery, if necessary (in hand to receiving party).</w:t>
            </w:r>
            <w:r>
              <w:rPr>
                <w:vertAlign w:val="baseline"/>
              </w:rPr>
            </w:r>
          </w:p>
          <w:p>
            <w:r>
              <w:rPr>
                <w:vertAlign w:val="baseline"/>
              </w:rPr>
            </w:r>
          </w:p>
          <w:p>
            <w:r>
              <w:rPr>
                <w:color w:val="000000"/>
                <w:rFonts w:ascii="Times New Roman" w:hAnsi="Times New Roman"/>
                <w:sz w:val="24"/>
                <w:vertAlign w:val="baseline"/>
              </w:rPr>
              <w:t xml:space="preserve">Deadline for answering supplemental discovery (in hand)</w:t>
            </w:r>
            <w:r>
              <w:rPr>
                <w:vertAlign w:val="baseline"/>
              </w:rPr>
            </w:r>
          </w:p>
          <w:p>
            <w:r>
              <w:rPr>
                <w:vertAlign w:val="baseline"/>
              </w:rPr>
            </w:r>
          </w:p>
          <w:p>
            <w:r>
              <w:rPr>
                <w:color w:val="000000"/>
                <w:rFonts w:ascii="Times New Roman" w:hAnsi="Times New Roman"/>
                <w:sz w:val="24"/>
                <w:vertAlign w:val="baseline"/>
              </w:rPr>
              <w:t xml:space="preserve">Technical hearing in Boise</w:t>
            </w:r>
            <w:r>
              <w:rPr>
                <w:vertAlign w:val="baseline"/>
              </w:rPr>
            </w:r>
          </w:p>
          <w:p>
            <w:r>
              <w:rPr>
                <w:vertAlign w:val="baseline"/>
              </w:rPr>
            </w:r>
          </w:p>
          <w:p>
            <w:r>
              <w:rPr>
                <w:color w:val="000000"/>
                <w:rFonts w:ascii="Times New Roman" w:hAnsi="Times New Roman"/>
                <w:sz w:val="24"/>
                <w:vertAlign w:val="baseline"/>
              </w:rPr>
              <w:t xml:space="preserve">Simultaneous filings of initial post hearing briefs</w:t>
            </w:r>
            <w:r>
              <w:rPr>
                <w:vertAlign w:val="baseline"/>
              </w:rPr>
            </w:r>
          </w:p>
          <w:p>
            <w:r>
              <w:rPr>
                <w:vertAlign w:val="baseline"/>
              </w:rPr>
            </w:r>
          </w:p>
          <w:p>
            <w:r>
              <w:rPr>
                <w:color w:val="000000"/>
                <w:rFonts w:ascii="Times New Roman" w:hAnsi="Times New Roman"/>
                <w:sz w:val="24"/>
                <w:vertAlign w:val="baseline"/>
              </w:rPr>
              <w:t xml:space="preserve">Simultaneous filing for responsive briefs </w:t>
            </w:r>
            <w:r>
              <w:rPr>
                <w:vertAlign w:val="baseline"/>
              </w:rPr>
            </w:r>
          </w:p>
          <w:p>
            <w:r>
              <w:rPr>
                <w:vertAlign w:val="baseline"/>
              </w:rPr>
            </w:r>
          </w:p>
          <w:p>
            <w:r>
              <w:rPr>
                <w:color w:val="000000"/>
                <w:rFonts w:ascii="Times New Roman" w:hAnsi="Times New Roman"/>
                <w:sz w:val="24"/>
                <w:vertAlign w:val="baseline"/>
              </w:rPr>
              <w:t xml:space="preserve">Deadline for issuance of Order</w:t>
            </w:r>
            <w:r>
              <w:rPr>
                <w:vertAlign w:val="baseline"/>
              </w:rPr>
            </w:r>
          </w:p>
        </w:tc>
      </w:tr>
    </w:tbl>
    <w:p>
      <w:pPr/>
    </w:p>
    <w:p>
      <w:r>
        <w:rPr>
          <w:color w:val="000000"/>
          <w:rFonts w:ascii="Times New Roman" w:hAnsi="Times New Roman"/>
          <w:sz w:val="24"/>
          <w:vertAlign w:val="baseline"/>
        </w:rPr>
        <w:t xml:space="preserve">The parties agreed to a 14-day turn around for discovery except for those discovery dates specifically outlined above.</w:t>
      </w:r>
      <w:r>
        <w:rPr>
          <w:vertAlign w:val="baseline"/>
        </w:rPr>
      </w:r>
    </w:p>
    <w:p>
      <w:r>
        <w:rPr>
          <w:color w:val="000000"/>
          <w:rFonts w:ascii="Times New Roman" w:hAnsi="Times New Roman"/>
          <w:sz w:val="24"/>
          <w:vertAlign w:val="baseline"/>
        </w:rPr>
        <w:t xml:space="preserve">YOU ARE FURTHER NOTIFIED that the prepared testimony and exhibits of all parties must be served upon the Commission and all other parties of record by the dates specified above.  The prepared testimony and exhibits must conform to the requirements of Rules 266 through 267 of the Commission's Rules of Procedure, IDAPA 31.01.01.266-.267.  The exhibit numbers assigned to each party are contained in the Notice of Parties issued September 24, 1996.</w:t>
      </w:r>
      <w:r>
        <w:rPr>
          <w:vertAlign w:val="baseline"/>
        </w:rPr>
      </w:r>
    </w:p>
    <w:p>
      <w:r>
        <w:rPr>
          <w:color w:val="000000"/>
          <w:rFonts w:ascii="Times New Roman" w:hAnsi="Times New Roman"/>
          <w:sz w:val="24"/>
          <w:vertAlign w:val="baseline"/>
        </w:rPr>
        <w:t xml:space="preserve">YOU ARE FURTHER NOTIFIED that to facilitate preparation of the reporter’s transcript in a computer-searchable format, the parties prefiling testimony in this case are requested to submit such testimony on a diskette in WordPerfect (5.1 to 7.0) format as well as a hard copy.  Attached to the Notice of Parties, the Commission Secretary forward to the parties a testimony “template” for the preparation of prefiled testimony.  This format is in accordance with Idaho Appellate Rules 24 &amp; 26 which will become effective October 1, 1996 and Commission Rule 231.01.  Questions concerning the format of the testimony may be directed to the Commission Secretary.</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61-307, 61-507, 61-622, 61-622A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parties adhere to the hearing schedule set out in the body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