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w:t>
            </w:r>
            <w:r>
              <w:rPr>
                <w:color w:val="000000"/>
                <w:rFonts w:ascii="Times New Roman" w:hAnsi="Times New Roman"/>
                <w:sz w:val="24"/>
                <w:vertAlign w:val="baseline"/>
              </w:rPr>
              <w:t xml:space="preserve">SPRINT SPECTRUM</w:t>
            </w:r>
            <w:r>
              <w:rPr>
                <w:color w:val="000000"/>
                <w:rFonts w:ascii="Times New Roman" w:hAnsi="Times New Roman"/>
                <w:sz w:val="24"/>
                <w:vertAlign w:val="baseline"/>
              </w:rPr>
              <w:t xml:space="preserve"> PETITION FOR ARBITRA­TION PURSUANT </w:t>
            </w:r>
            <w:r>
              <w:rPr>
                <w:vertAlign w:val="baseline"/>
              </w:rPr>
            </w:r>
          </w:p>
          <w:p>
            <w:r>
              <w:rPr>
                <w:color w:val="000000"/>
                <w:rFonts w:ascii="Times New Roman" w:hAnsi="Times New Roman"/>
                <w:sz w:val="24"/>
                <w:vertAlign w:val="baseline"/>
              </w:rPr>
              <w:t xml:space="preserve">TO SECTION 252(b) OF THE TELECOMMU­NICA­TIONS ACT OF 1996 OF THE RATES, TERMS, AND CONDITIONS OF INTERCON­NEC­TION WITH GTE NORTH­WEST INCORPORATED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USW-T-97-7</w:t>
            </w:r>
            <w:r>
              <w:rPr>
                <w:vertAlign w:val="baseline"/>
              </w:rPr>
            </w:r>
          </w:p>
          <w:p>
            <w:r>
              <w:rPr>
                <w:color w:val="000000"/>
                <w:rFonts w:ascii="Times New Roman" w:hAnsi="Times New Roman"/>
                <w:sz w:val="24"/>
                <w:vertAlign w:val="baseline"/>
              </w:rPr>
              <w:t xml:space="preserve">SPS-T-97-1</w:t>
            </w:r>
            <w:r>
              <w:rPr>
                <w:vertAlign w:val="baseline"/>
              </w:rPr>
            </w:r>
          </w:p>
          <w:p>
            <w:r>
              <w:rPr>
                <w:vertAlign w:val="baseline"/>
              </w:rPr>
            </w:r>
          </w:p>
          <w:p>
            <w:r>
              <w:rPr>
                <w:color w:val="000000"/>
                <w:rFonts w:ascii="Times New Roman" w:hAnsi="Times New Roman"/>
                <w:sz w:val="24"/>
                <w:vertAlign w:val="baseline"/>
              </w:rPr>
              <w:t xml:space="preserve">ORDER NO.  26836</w:t>
            </w:r>
            <w:r>
              <w:rPr>
                <w:vertAlign w:val="baseline"/>
              </w:rPr>
            </w:r>
          </w:p>
          <w:p>
            <w:r>
              <w:rPr>
                <w:vertAlign w:val="baseline"/>
              </w:rPr>
            </w:r>
          </w:p>
          <w:p>
            <w:r>
              <w:rPr>
                <w:color w:val="000000"/>
                <w:rFonts w:ascii="Times New Roman" w:hAnsi="Times New Roman"/>
                <w:sz w:val="24"/>
                <w:vertAlign w:val="baseline"/>
              </w:rPr>
              <w:t xml:space="preserve">PROCEDURAL ORDER</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14, 1997, Sprint Spectrum (</w:t>
      </w:r>
      <w:r>
        <w:rPr>
          <w:color w:val="000000"/>
          <w:rFonts w:ascii="Times New Roman" w:hAnsi="Times New Roman"/>
          <w:sz w:val="24"/>
          <w:vertAlign w:val="baseline"/>
        </w:rPr>
        <w:t xml:space="preserve">Sprint) filed with the Commission a Petition for Arbitration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pursuant to Section 252(b) of the federal Telecommunications Act of 1996.  </w:t>
      </w:r>
      <w:r>
        <w:rPr>
          <w:color w:val="000000"/>
          <w:rFonts w:ascii="Times New Roman" w:hAnsi="Times New Roman"/>
          <w:sz w:val="24"/>
          <w:vertAlign w:val="baseline"/>
        </w:rPr>
        <w:t xml:space="preserve">Sprint </w:t>
      </w:r>
      <w:r>
        <w:rPr>
          <w:color w:val="000000"/>
          <w:rFonts w:ascii="Times New Roman" w:hAnsi="Times New Roman"/>
          <w:sz w:val="24"/>
          <w:vertAlign w:val="baseline"/>
        </w:rPr>
        <w:t xml:space="preserve">also filed a Motion for Pre-arbitration Procedural Order to address the appointment of an arbitrator, discovery and the arbitrator’s request for information, scheduling, and other issues to process the arbitration.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 its Answer </w:t>
      </w:r>
      <w:r>
        <w:rPr>
          <w:color w:val="000000"/>
          <w:rFonts w:ascii="Times New Roman" w:hAnsi="Times New Roman"/>
          <w:sz w:val="24"/>
          <w:vertAlign w:val="baseline"/>
        </w:rPr>
        <w:t xml:space="preserve">on March 4, 1997.</w:t>
      </w:r>
      <w:r>
        <w:rPr>
          <w:vertAlign w:val="baseline"/>
        </w:rPr>
      </w:r>
    </w:p>
    <w:p>
      <w:r>
        <w:rPr>
          <w:color w:val="000000"/>
          <w:rFonts w:ascii="Times New Roman" w:hAnsi="Times New Roman"/>
          <w:sz w:val="24"/>
          <w:vertAlign w:val="baseline"/>
        </w:rPr>
        <w:t xml:space="preserve">In order to provide a schedule and address other issues for this arbitration, the Commission finds that it is a</w:t>
      </w:r>
      <w:r>
        <w:rPr>
          <w:color w:val="000000"/>
          <w:rFonts w:ascii="Times New Roman" w:hAnsi="Times New Roman"/>
          <w:sz w:val="24"/>
          <w:vertAlign w:val="baseline"/>
        </w:rPr>
        <w:t xml:space="preserve">ppropriate to issue this Procedural Order.</w:t>
      </w:r>
      <w:r>
        <w:rPr>
          <w:vertAlign w:val="baseline"/>
        </w:rPr>
      </w:r>
    </w:p>
    <w:p>
      <w:r>
        <w:rPr>
          <w:color w:val="000000"/>
          <w:rFonts w:ascii="Times New Roman" w:hAnsi="Times New Roman"/>
          <w:sz w:val="24"/>
          <w:vertAlign w:val="baseline"/>
        </w:rPr>
        <w:t xml:space="preserve">Arbitrator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Commission will act as arbitrator in this case.</w:t>
      </w:r>
      <w:r>
        <w:rPr>
          <w:vertAlign w:val="baseline"/>
        </w:rPr>
      </w:r>
    </w:p>
    <w:p>
      <w:r>
        <w:rPr>
          <w:color w:val="000000"/>
          <w:rFonts w:ascii="Times New Roman" w:hAnsi="Times New Roman"/>
          <w:sz w:val="24"/>
          <w:vertAlign w:val="baseline"/>
        </w:rPr>
        <w:t xml:space="preserve">Discovery</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Discovery permitted by the Commission’s Rules of Procedure will be permitted in this proceeding.  In addition, the parties must cooperate in good faith by promptly and informally exchanging all documents and other information relevant to the disputed issues, subject to claims of privilege or confidentiality.  Failure to exchange information may be deemed a failure to negotiate in good faith under the Act. </w:t>
      </w:r>
      <w:r>
        <w:rPr>
          <w:vertAlign w:val="baseline"/>
        </w:rPr>
      </w:r>
    </w:p>
    <w:p>
      <w:r>
        <w:rPr>
          <w:color w:val="000000"/>
          <w:rFonts w:ascii="Times New Roman" w:hAnsi="Times New Roman"/>
          <w:sz w:val="24"/>
          <w:vertAlign w:val="baseline"/>
        </w:rPr>
        <w:t xml:space="preserve">Request for Information</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Pursuant to 47 U.S.C. § 252(b)(4)(B), the Commission may require the parties to provide any information necessary to reach a decision on unresolved issues.  If any party refuses or fails unreasonably to respond in a timely basis to any reasonable request by the Commission, the Commission may proceed on the basis of the best information available from whatever source derived.  The parties will respond to such requests for information within seven days, unless another time is set by the Commission.</w:t>
      </w:r>
      <w:r>
        <w:rPr>
          <w:vertAlign w:val="baseline"/>
        </w:rPr>
      </w:r>
    </w:p>
    <w:p>
      <w:r>
        <w:rPr>
          <w:color w:val="000000"/>
          <w:rFonts w:ascii="Times New Roman" w:hAnsi="Times New Roman"/>
          <w:sz w:val="24"/>
          <w:vertAlign w:val="baseline"/>
        </w:rPr>
        <w:t xml:space="preserve">Prehearing Conferences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Commission may hold a prehearing conference to identify and discuss the issues to be resolved; review scheduling issues and the status of discovery and address discovery disputes; discuss motions anticipated by the parties; and other such issues.  At the time of the conference, either party may request a decision requiring a response to any outstanding discovery request.  Such a request for a decision for discovery should include an explanation of why the information is necessary to reach a decision on an unresolved issue.  The Commission shall determine the date and time for prehearing conference(s), which may be conducted by conference calls.</w:t>
      </w:r>
      <w:r>
        <w:rPr>
          <w:vertAlign w:val="baseline"/>
        </w:rPr>
      </w:r>
    </w:p>
    <w:p>
      <w:r>
        <w:rPr>
          <w:color w:val="000000"/>
          <w:rFonts w:ascii="Times New Roman" w:hAnsi="Times New Roman"/>
          <w:sz w:val="24"/>
          <w:vertAlign w:val="baseline"/>
        </w:rPr>
        <w:t xml:space="preserve">Prehearing Statement</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Each party will file a prehearing statement designating all issues the party believes remain in dispute, the party’s position on each such issue, and arguments as to why the party’s position should be accepted by the arbitrator.  Prehearing statements shall be filed no later than </w:t>
      </w:r>
      <w:r>
        <w:rPr>
          <w:color w:val="000000"/>
          <w:rFonts w:ascii="Times New Roman" w:hAnsi="Times New Roman"/>
          <w:sz w:val="24"/>
          <w:vertAlign w:val="baseline"/>
        </w:rPr>
        <w:t xml:space="preserve">May 2, 1997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Proposed Order</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No later than seven days after close of the hearing, each party will provide to the Commission and the other party its proposed arbitration order, setting forth a proposed resolution of each issue presented for arbitration.</w:t>
      </w:r>
      <w:r>
        <w:rPr>
          <w:vertAlign w:val="baseline"/>
        </w:rPr>
      </w:r>
    </w:p>
    <w:p>
      <w:r>
        <w:rPr>
          <w:color w:val="000000"/>
          <w:rFonts w:ascii="Times New Roman" w:hAnsi="Times New Roman"/>
          <w:sz w:val="24"/>
          <w:vertAlign w:val="baseline"/>
        </w:rPr>
        <w:t xml:space="preserve">Arbitration Decision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will issue an Arbitration Decision which shall constitute the resolution by the Commission of the issues submitted for arbitration. The Arbitration Decision shall comply with the requirements of 47 U.S.C. § 252(c)</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Schedule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following schedule is adopted for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Direct testimony of Sprint filed</w:t>
            </w:r>
            <w:r>
              <w:rPr>
                <w:vertAlign w:val="baseline"/>
              </w:rPr>
            </w:r>
          </w:p>
          <w:p>
            <w:r>
              <w:rPr>
                <w:color w:val="000000"/>
                <w:rFonts w:ascii="Times New Roman" w:hAnsi="Times New Roman"/>
                <w:sz w:val="24"/>
                <w:vertAlign w:val="baseline"/>
              </w:rPr>
              <w:t xml:space="preserve">Direct testimony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filed</w:t>
            </w:r>
            <w:r>
              <w:rPr>
                <w:vertAlign w:val="baseline"/>
              </w:rPr>
            </w:r>
          </w:p>
          <w:p>
            <w:r>
              <w:rPr>
                <w:color w:val="000000"/>
                <w:rFonts w:ascii="Times New Roman" w:hAnsi="Times New Roman"/>
                <w:sz w:val="24"/>
                <w:vertAlign w:val="baseline"/>
              </w:rPr>
              <w:t xml:space="preserve">Rebuttal testimony of </w:t>
            </w:r>
            <w:r>
              <w:rPr>
                <w:color w:val="000000"/>
                <w:rFonts w:ascii="Times New Roman" w:hAnsi="Times New Roman"/>
                <w:sz w:val="24"/>
                <w:vertAlign w:val="baseline"/>
              </w:rPr>
              <w:t xml:space="preserve">Sprint </w:t>
            </w:r>
            <w:r>
              <w:rPr>
                <w:color w:val="000000"/>
                <w:rFonts w:ascii="Times New Roman" w:hAnsi="Times New Roman"/>
                <w:sz w:val="24"/>
                <w:vertAlign w:val="baseline"/>
              </w:rPr>
              <w:t xml:space="preserve">filed</w:t>
            </w:r>
            <w:r>
              <w:rPr>
                <w:vertAlign w:val="baseline"/>
              </w:rPr>
            </w:r>
          </w:p>
          <w:p>
            <w:r>
              <w:rPr>
                <w:color w:val="000000"/>
                <w:rFonts w:ascii="Times New Roman" w:hAnsi="Times New Roman"/>
                <w:sz w:val="24"/>
                <w:vertAlign w:val="baseline"/>
              </w:rPr>
              <w:t xml:space="preserve">Rebuttal testimony of </w:t>
            </w:r>
            <w:r>
              <w:rPr>
                <w:color w:val="000000"/>
                <w:rFonts w:ascii="Times New Roman" w:hAnsi="Times New Roman"/>
                <w:sz w:val="24"/>
                <w:vertAlign w:val="baseline"/>
              </w:rPr>
              <w:t xml:space="preserve">U S WEST </w:t>
            </w:r>
            <w:r>
              <w:rPr>
                <w:vertAlign w:val="baseline"/>
              </w:rPr>
            </w:r>
          </w:p>
          <w:p>
            <w:r>
              <w:rPr>
                <w:color w:val="000000"/>
                <w:rFonts w:ascii="Times New Roman" w:hAnsi="Times New Roman"/>
                <w:sz w:val="24"/>
                <w:vertAlign w:val="baseline"/>
              </w:rPr>
              <w:t xml:space="preserve">Hearing commences</w:t>
            </w:r>
            <w:r>
              <w:rPr>
                <w:vertAlign w:val="baseline"/>
              </w:rPr>
            </w:r>
          </w:p>
          <w:p>
            <w:r>
              <w:rPr>
                <w:color w:val="000000"/>
                <w:rFonts w:ascii="Times New Roman" w:hAnsi="Times New Roman"/>
                <w:sz w:val="24"/>
                <w:vertAlign w:val="baseline"/>
              </w:rPr>
              <w:t xml:space="preserve">Arbitration decision</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March 18, 1997</w:t>
            </w:r>
            <w:r>
              <w:rPr>
                <w:vertAlign w:val="baseline"/>
              </w:rPr>
            </w:r>
          </w:p>
          <w:p>
            <w:r>
              <w:rPr>
                <w:color w:val="000000"/>
                <w:rFonts w:ascii="Times New Roman" w:hAnsi="Times New Roman"/>
                <w:sz w:val="24"/>
                <w:vertAlign w:val="baseline"/>
              </w:rPr>
              <w:t xml:space="preserve">April 14, 1997</w:t>
            </w:r>
            <w:r>
              <w:rPr>
                <w:vertAlign w:val="baseline"/>
              </w:rPr>
            </w:r>
          </w:p>
          <w:p>
            <w:r>
              <w:rPr>
                <w:color w:val="000000"/>
                <w:rFonts w:ascii="Times New Roman" w:hAnsi="Times New Roman"/>
                <w:sz w:val="24"/>
                <w:vertAlign w:val="baseline"/>
              </w:rPr>
              <w:t xml:space="preserve">April 24, 1997</w:t>
            </w:r>
            <w:r>
              <w:rPr>
                <w:vertAlign w:val="baseline"/>
              </w:rPr>
            </w:r>
          </w:p>
          <w:p>
            <w:r>
              <w:rPr>
                <w:color w:val="000000"/>
                <w:rFonts w:ascii="Times New Roman" w:hAnsi="Times New Roman"/>
                <w:sz w:val="24"/>
                <w:vertAlign w:val="baseline"/>
              </w:rPr>
              <w:t xml:space="preserve">April 30, 1997</w:t>
            </w:r>
            <w:r>
              <w:rPr>
                <w:vertAlign w:val="baseline"/>
              </w:rPr>
            </w:r>
          </w:p>
          <w:p>
            <w:r>
              <w:rPr>
                <w:color w:val="000000"/>
                <w:rFonts w:ascii="Times New Roman" w:hAnsi="Times New Roman"/>
                <w:sz w:val="24"/>
                <w:vertAlign w:val="baseline"/>
              </w:rPr>
              <w:t xml:space="preserve">May 7, 1997</w:t>
            </w:r>
            <w:r>
              <w:rPr>
                <w:vertAlign w:val="baseline"/>
              </w:rPr>
            </w:r>
          </w:p>
          <w:p>
            <w:r>
              <w:rPr>
                <w:color w:val="000000"/>
                <w:rFonts w:ascii="Times New Roman" w:hAnsi="Times New Roman"/>
                <w:sz w:val="24"/>
                <w:vertAlign w:val="baseline"/>
              </w:rPr>
              <w:t xml:space="preserve">No later than June 11, 1997</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4"/>
          <w:vertAlign w:val="baseline"/>
        </w:rPr>
        <w:t xml:space="preserve">The Commission for good cause or by agreement of the parties may allow changes to the schedule.</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vld/O:USW-T-97-7.ws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