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RE:US WEST COMMUNICATIONS, INC.’S APPLICATION TO BE DESIGNATED AS AN “ELIGIBLE TELECOMMUNICATIONS CARRIER,” CASE NO. USW-T-97-19</w:t>
      </w:r>
      <w:r>
        <w:rPr/>
      </w:r>
    </w:p>
    <w:p>
      <w:r>
        <w:rPr/>
      </w:r>
    </w:p>
    <w:p>
      <w:r>
        <w:rPr/>
      </w:r>
    </w:p>
    <w:p>
      <w:r>
        <w:rPr>
          <w:color w:val="000000"/>
          <w:rFonts w:ascii="Times New Roman" w:hAnsi="Times New Roman"/>
          <w:sz w:val="24"/>
        </w:rPr>
        <w:t xml:space="preserve">On November 14, 1997, US WEST Communications, Inc. filed an Application (attached) requesting that the Commission designate it as an eligible telecommunications carrier in each of its serving wire centers in its certified area as reflected by Certificate of Public Convenience and Necessity No. 313 (NOID) and Certificate of Public Convenience and Necessity No. 255 (SOID) on an interim basis.  Before a telecommunications corporation may receive federal universal service support, it must be designated as an eligible telecommunications carrier by the state public utility commission.  Federal universal support includes high cost support, reimbursement for discounts provided to low-income customers (Lifeline and Link Up programs), and support for health care providers.  </w:t>
      </w:r>
      <w:r>
        <w:rPr/>
      </w:r>
    </w:p>
    <w:p>
      <w:r>
        <w:rPr>
          <w:color w:val="000000"/>
          <w:rFonts w:ascii="Times New Roman" w:hAnsi="Times New Roman"/>
          <w:sz w:val="24"/>
        </w:rPr>
        <w:t xml:space="preserve">US WEST serves eight wire centers and approximately 30,662 access lines in its northern Idaho operations pursuant to Certificate of Public Convenience and Necessity No. 313; and in its southern Idaho operations, it serves fifty-nine wire centers and approximately 438,578 lines pursuant to Certificate of Public Convenience and Necessity No. 255.  Both certificates are on file with the Commission.</w:t>
      </w:r>
      <w:r>
        <w:rPr/>
      </w:r>
    </w:p>
    <w:p>
      <w:r>
        <w:rPr>
          <w:color w:val="000000"/>
          <w:rFonts w:ascii="Times New Roman" w:hAnsi="Times New Roman"/>
          <w:sz w:val="24"/>
        </w:rPr>
        <w:t xml:space="preserve">Section 214(e)(2) of the Telecommunications Act provides that a “State Commission shall upon its own motion or upon request designate a common carrier that meets the requirements [established by the FCC] as an eligible telecommunications carrier for a service area designated by the State Commission.”  47 U.S.C. § 214(e)(2).  US WEST certifies that it meets the requirements for designation as an eligible telecommunications carrier for its Idaho service areas.</w:t>
      </w:r>
      <w:r>
        <w:rPr/>
      </w:r>
    </w:p>
    <w:p>
      <w:r>
        <w:rPr>
          <w:color w:val="000000"/>
          <w:rFonts w:ascii="Times New Roman" w:hAnsi="Times New Roman"/>
          <w:sz w:val="24"/>
        </w:rPr>
        <w:t xml:space="preserve">To be designated as an eligible telecommunications carrier, a LEC must offer the following services as specified in the FCC’s Universal Service Order, CC Docket No. 96-45 (FCC 97-157), released May 8, 1997: </w:t>
      </w:r>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low-income consumers</w:t>
      </w:r>
      <w:r>
        <w:rPr/>
      </w:r>
    </w:p>
    <w:p>
      <w:r>
        <w:rPr/>
      </w:r>
    </w:p>
    <w:p>
      <w:r>
        <w:rPr>
          <w:color w:val="000000"/>
          <w:rFonts w:ascii="Times New Roman" w:hAnsi="Times New Roman"/>
          <w:sz w:val="24"/>
        </w:rPr>
        <w:t xml:space="preserve">Id.</w:t>
      </w:r>
      <w:r>
        <w:rPr>
          <w:color w:val="000000"/>
          <w:rFonts w:ascii="Times New Roman" w:hAnsi="Times New Roman"/>
          <w:sz w:val="24"/>
        </w:rPr>
        <w:t xml:space="preserve"> at ¶¶ 61-82.  US WEST asserts that it offers the above-listed services using its own facilities and generally advertises the availability of these services pursuant to 47 U.S.C. § 214(e)(1)(A) and (1)(B).  US WEST further asserts that it offers Lifeline services consistent with Idaho statutes and has made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WAIVER REQUEST</w:t>
      </w:r>
      <w:r>
        <w:rPr>
          <w:vertAlign w:val="baseline"/>
        </w:rPr>
      </w:r>
    </w:p>
    <w:p>
      <w:r>
        <w:rPr>
          <w:color w:val="000000"/>
          <w:rFonts w:ascii="Times New Roman" w:hAnsi="Times New Roman"/>
          <w:sz w:val="24"/>
          <w:vertAlign w:val="baseline"/>
        </w:rPr>
        <w:t xml:space="preserve">US WEST also asks that the Commission grant it a waiver if the FCC requires that both toll blocking and toll control as a part of toll limitation services in accordance with the FCC’s Universal Order (FCC 97-157) ¶388.</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US WEST asserts it does not have the technical ability to provide toll control.  US WEST Application at 3, fn. 3. </w:t>
      </w:r>
      <w:r>
        <w:rPr>
          <w:color w:val="000000"/>
          <w:rFonts w:ascii="Times New Roman" w:hAnsi="Times New Roman"/>
          <w:sz w:val="24"/>
          <w:vertAlign w:val="baseline"/>
        </w:rPr>
        <w:t xml:space="preserve">Consequently, US WEST requests a waiver of the toll control requirement.  </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Other than the toll control issue, the Staff believes that US WEST meets the requirements of an eligible telecommunications carrier.  Due to US WEST’s late petition, the need for Commission action before January 1, 1998, and the fact that the next scheduled decision meeting is December 15, 1997, Staff finds there are exceptional circumstances justifying processing consideration of this Application under Modified Procedure and giving interested persons 14 days to comment.  Staff intends to comment on the toll control issue in the comment cycle.</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agree that this matter can be processed under Modified Procedure?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