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TO:BOB DESHAZO—EAGLE WATER COMPANY </w:t>
      </w:r>
      <w:r>
        <w:rPr/>
      </w:r>
    </w:p>
    <w:p>
      <w:r>
        <w:rPr>
          <w:color w:val="000000"/>
          <w:rFonts w:ascii="Times New Roman" w:hAnsi="Times New Roman"/>
          <w:sz w:val="24"/>
        </w:rPr>
        <w:t xml:space="preserve">ROBERT L. ALDRIDGE, ESQ.</w:t>
      </w:r>
      <w:r>
        <w:rPr/>
      </w:r>
    </w:p>
    <w:p>
      <w:r>
        <w:rPr>
          <w:color w:val="000000"/>
          <w:rFonts w:ascii="Times New Roman" w:hAnsi="Times New Roman"/>
          <w:sz w:val="24"/>
        </w:rPr>
        <w:t xml:space="preserve">JAMES M. REES</w:t>
      </w:r>
      <w:r>
        <w:rPr/>
      </w:r>
    </w:p>
    <w:p>
      <w:r>
        <w:rPr/>
      </w:r>
    </w:p>
    <w:p>
      <w:r>
        <w:rPr>
          <w:color w:val="000000"/>
          <w:rFonts w:ascii="Times New Roman" w:hAnsi="Times New Roman"/>
          <w:sz w:val="24"/>
        </w:rPr>
        <w:t xml:space="preserve">V.  SCOTT BROWN—S &amp; A BROWN CHARITABLE TRUST</w:t>
      </w:r>
      <w:r>
        <w:rPr/>
      </w:r>
    </w:p>
    <w:p>
      <w:r>
        <w:rPr>
          <w:color w:val="000000"/>
          <w:rFonts w:ascii="Times New Roman" w:hAnsi="Times New Roman"/>
          <w:sz w:val="24"/>
        </w:rPr>
        <w:t xml:space="preserve">JOHN L. RUNFT, ESQ.</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16, 1998</w:t>
      </w:r>
      <w:r>
        <w:rPr/>
      </w:r>
    </w:p>
    <w:p>
      <w:r>
        <w:rPr/>
      </w:r>
    </w:p>
    <w:p>
      <w:r>
        <w:rPr>
          <w:color w:val="000000"/>
          <w:rFonts w:ascii="Times New Roman" w:hAnsi="Times New Roman"/>
          <w:sz w:val="24"/>
        </w:rPr>
        <w:t xml:space="preserve">RE:CASE NO. EAG-W-98-1</w:t>
      </w:r>
      <w:r>
        <w:rPr/>
      </w:r>
    </w:p>
    <w:p>
      <w:r>
        <w:rPr>
          <w:color w:val="000000"/>
          <w:rFonts w:ascii="Times New Roman" w:hAnsi="Times New Roman"/>
          <w:sz w:val="24"/>
        </w:rPr>
        <w:t xml:space="preserve">BONITA HILLS SUBDIVISION</w:t>
      </w:r>
      <w:r>
        <w:rPr/>
      </w:r>
    </w:p>
    <w:p>
      <w:r>
        <w:rPr/>
      </w:r>
    </w:p>
    <w:p>
      <w:r>
        <w:rPr/>
      </w:r>
    </w:p>
    <w:p>
      <w:r>
        <w:rPr>
          <w:color w:val="000000"/>
          <w:rFonts w:ascii="Times New Roman" w:hAnsi="Times New Roman"/>
          <w:sz w:val="24"/>
        </w:rPr>
        <w:t xml:space="preserve">Gentlemen:</w:t>
      </w:r>
      <w:r>
        <w:rPr/>
      </w:r>
    </w:p>
    <w:p>
      <w:r>
        <w:rPr>
          <w:color w:val="000000"/>
          <w:rFonts w:ascii="Times New Roman" w:hAnsi="Times New Roman"/>
          <w:sz w:val="24"/>
        </w:rPr>
        <w:t xml:space="preserve">Thank you for your participation in the meeting of March 6, 1998.  It is the understanding of Commission Staff that Eagle Water Company understands the water service requirements of the Bonita Hills Subdivision and represents that it is willing and capable of providing service.  It is also Staff’s understanding that Eagle Water and its engineer understand what information, studies or plans are required from Eagle Water by DEQ and have committed to provide said information to DEQ no later than Tuesday, March 31, 1998, and will make best efforts to provide said information to DEQ by Friday, March 27, 1998.  </w:t>
      </w:r>
      <w:r>
        <w:rPr/>
      </w:r>
    </w:p>
    <w:p>
      <w:r>
        <w:rPr/>
      </w:r>
    </w:p>
    <w:p>
      <w:r>
        <w:rPr>
          <w:color w:val="000000"/>
          <w:rFonts w:ascii="Times New Roman" w:hAnsi="Times New Roman"/>
          <w:sz w:val="24"/>
        </w:rPr>
        <w:t xml:space="preserve">In the event that Eagle Water fails to follow through in its commitment to provide DEQ with the required information by March 31, 1998, the parties are notified that the Commission has reserved a calendar date of April 7, 1998, at 1:30 p.m. for oral argument on any motions that might be filed.  It is requested that motions be filed with the Commission Secretary on or prior to April 3, 1998, and that in-hand and same date service be made on all parties to this proceeding.</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vld/M:EAG-W-98-1.sw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