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July 19, 1996</w:t>
      </w:r>
      <w:r>
        <w:rPr/>
      </w:r>
    </w:p>
    <w:p>
      <w:r>
        <w:rPr/>
      </w:r>
    </w:p>
    <w:p>
      <w:r>
        <w:rPr/>
      </w:r>
    </w:p>
    <w:p>
      <w:r>
        <w:rPr/>
      </w:r>
    </w:p>
    <w:p>
      <w:r>
        <w:rPr>
          <w:color w:val="000000"/>
          <w:rFonts w:ascii="Times New Roman" w:hAnsi="Times New Roman"/>
          <w:sz w:val="22"/>
        </w:rPr>
        <w:t xml:space="preserve">Roy C.  Moulton</w:t>
      </w:r>
      <w:r>
        <w:rPr/>
      </w:r>
    </w:p>
    <w:p>
      <w:r>
        <w:rPr>
          <w:color w:val="000000"/>
          <w:rFonts w:ascii="Times New Roman" w:hAnsi="Times New Roman"/>
          <w:sz w:val="22"/>
        </w:rPr>
        <w:t xml:space="preserve">60 E Wallace Ave</w:t>
      </w:r>
      <w:r>
        <w:rPr/>
      </w:r>
    </w:p>
    <w:p>
      <w:r>
        <w:rPr>
          <w:color w:val="000000"/>
          <w:rFonts w:ascii="Times New Roman" w:hAnsi="Times New Roman"/>
          <w:sz w:val="22"/>
        </w:rPr>
        <w:t xml:space="preserve">PO Box 631</w:t>
      </w:r>
      <w:r>
        <w:rPr/>
      </w:r>
    </w:p>
    <w:p>
      <w:r>
        <w:rPr>
          <w:color w:val="000000"/>
          <w:rFonts w:ascii="Times New Roman" w:hAnsi="Times New Roman"/>
          <w:sz w:val="22"/>
        </w:rPr>
        <w:t xml:space="preserve">Driggs, ID 83422</w:t>
      </w:r>
      <w:r>
        <w:rPr/>
      </w:r>
    </w:p>
    <w:p>
      <w:r>
        <w:rPr/>
      </w:r>
    </w:p>
    <w:p>
      <w:r>
        <w:rPr/>
      </w:r>
    </w:p>
    <w:p>
      <w:r>
        <w:rPr>
          <w:color w:val="000000"/>
          <w:rFonts w:ascii="Times New Roman" w:hAnsi="Times New Roman"/>
          <w:sz w:val="22"/>
        </w:rPr>
        <w:t xml:space="preserve">Re: Packsaddle Water Corporation/Burrell</w:t>
      </w:r>
      <w:r>
        <w:rPr/>
      </w:r>
    </w:p>
    <w:p>
      <w:r>
        <w:rPr/>
      </w:r>
    </w:p>
    <w:p>
      <w:r>
        <w:rPr>
          <w:color w:val="000000"/>
          <w:rFonts w:ascii="Times New Roman" w:hAnsi="Times New Roman"/>
          <w:sz w:val="22"/>
        </w:rPr>
        <w:t xml:space="preserve">Dear Roy:</w:t>
      </w:r>
      <w:r>
        <w:rPr/>
      </w:r>
    </w:p>
    <w:p>
      <w:r>
        <w:rPr/>
      </w:r>
    </w:p>
    <w:p>
      <w:r>
        <w:rPr>
          <w:color w:val="000000"/>
          <w:rFonts w:ascii="Times New Roman" w:hAnsi="Times New Roman"/>
          <w:sz w:val="22"/>
        </w:rPr>
        <w:t xml:space="preserve">I received your letter dated June 24, 1996, regarding Packsaddle Water Corporation’s well lot encroachment on Mr. Burrell’s property.  You asked what the Commission’s position would be on an offer for free water privileges in perpetuity in exchange for the use of an easement on Burrell’s land.  Although I cannot represent to you what the Commission would rule on this matter, I can explain to you how the Commission has ruled in previous cases with similar facts.  </w:t>
      </w:r>
      <w:r>
        <w:rPr/>
      </w:r>
    </w:p>
    <w:p>
      <w:r>
        <w:rPr>
          <w:color w:val="000000"/>
          <w:rFonts w:ascii="Times New Roman" w:hAnsi="Times New Roman"/>
          <w:sz w:val="22"/>
        </w:rPr>
        <w:t xml:space="preserve">The situation you describe raises the issue of whether free water privileges in exchange for the use of property violates </w:t>
      </w:r>
      <w:r>
        <w:rPr>
          <w:color w:val="000000"/>
          <w:rFonts w:ascii="Times New Roman" w:hAnsi="Times New Roman"/>
          <w:sz w:val="22"/>
        </w:rPr>
        <w:t xml:space="preserve">Idaho Code</w:t>
      </w:r>
      <w:r>
        <w:rPr>
          <w:color w:val="000000"/>
          <w:rFonts w:ascii="Times New Roman" w:hAnsi="Times New Roman"/>
          <w:sz w:val="22"/>
        </w:rPr>
        <w:t xml:space="preserve"> § 61-315.  The statute reads as follows:</w:t>
      </w:r>
      <w:r>
        <w:rPr/>
      </w:r>
    </w:p>
    <w:p>
      <w:r>
        <w:rPr>
          <w:color w:val="000000"/>
          <w:rFonts w:ascii="Times New Roman" w:hAnsi="Times New Roman"/>
          <w:sz w:val="22"/>
        </w:rPr>
        <w:t xml:space="preserve">Discrimination and Preferences Prohibited— </w:t>
      </w:r>
      <w:r>
        <w:rPr/>
      </w:r>
    </w:p>
    <w:p>
      <w:r>
        <w:rPr>
          <w:color w:val="000000"/>
          <w:rFonts w:ascii="Times New Roman" w:hAnsi="Times New Roman"/>
          <w:sz w:val="22"/>
        </w:rPr>
        <w:t xml:space="preserve">No public utility shall, as to rates, charges, service, facilities or in any other respect, make  or grant any preference or advantage to any corporation or person or subject any corporation or person to any prejudice or disadvantage.  No public utility shall establish or maintain any unreasonable difference as to rates, charges, services, facilities or in any other respect, either as between localities or as between classes of service.  The Commission shall have the power to determine any question of fact arising in this section.</w:t>
      </w:r>
      <w:r>
        <w:rPr/>
      </w:r>
    </w:p>
    <w:p>
      <w:r>
        <w:rPr>
          <w:color w:val="000000"/>
          <w:rFonts w:ascii="Times New Roman" w:hAnsi="Times New Roman"/>
          <w:sz w:val="22"/>
        </w:rPr>
        <w:t xml:space="preserve">Idaho Code</w:t>
      </w:r>
      <w:r>
        <w:rPr>
          <w:color w:val="000000"/>
          <w:rFonts w:ascii="Times New Roman" w:hAnsi="Times New Roman"/>
          <w:sz w:val="22"/>
        </w:rPr>
        <w:t xml:space="preserve"> § 61-315.</w:t>
      </w:r>
      <w:r>
        <w:rPr/>
      </w:r>
    </w:p>
    <w:p>
      <w:r>
        <w:rPr>
          <w:color w:val="000000"/>
          <w:rFonts w:ascii="Times New Roman" w:hAnsi="Times New Roman"/>
          <w:sz w:val="22"/>
        </w:rPr>
        <w:t xml:space="preserve">The Commission addressed such an issue most recently in </w:t>
      </w:r>
      <w:r>
        <w:rPr>
          <w:color w:val="000000"/>
          <w:rFonts w:ascii="Times New Roman" w:hAnsi="Times New Roman"/>
          <w:sz w:val="22"/>
        </w:rPr>
        <w:t xml:space="preserve">In re Atlanta Power Company,</w:t>
      </w:r>
      <w:r>
        <w:rPr>
          <w:color w:val="000000"/>
          <w:rFonts w:ascii="Times New Roman" w:hAnsi="Times New Roman"/>
          <w:sz w:val="22"/>
        </w:rPr>
        <w:t xml:space="preserve"> ATL-E-93-1, Order No. 24925 (1993).  The Commission considered whether the Company’s offering free electrical services for a limited time in exchange for purchase of hydro generation facilities and distribution equipment violated </w:t>
      </w:r>
      <w:r>
        <w:rPr>
          <w:color w:val="000000"/>
          <w:rFonts w:ascii="Times New Roman" w:hAnsi="Times New Roman"/>
          <w:sz w:val="22"/>
        </w:rPr>
        <w:t xml:space="preserve">Idaho Code</w:t>
      </w:r>
      <w:r>
        <w:rPr>
          <w:color w:val="000000"/>
          <w:rFonts w:ascii="Times New Roman" w:hAnsi="Times New Roman"/>
          <w:sz w:val="22"/>
        </w:rPr>
        <w:t xml:space="preserve"> § 61-315.  The Commission Staff contended that providing power without billing was discriminatory.  The Staff relied on </w:t>
      </w:r>
      <w:r>
        <w:rPr>
          <w:color w:val="000000"/>
          <w:rFonts w:ascii="Times New Roman" w:hAnsi="Times New Roman"/>
          <w:sz w:val="22"/>
        </w:rPr>
        <w:t xml:space="preserve">Davenport v. Idaho Metals Company</w:t>
      </w:r>
      <w:r>
        <w:rPr>
          <w:color w:val="000000"/>
          <w:rFonts w:ascii="Times New Roman" w:hAnsi="Times New Roman"/>
          <w:sz w:val="22"/>
        </w:rPr>
        <w:t xml:space="preserve">, PUCI case F473, Order 850, PUR 1922D 506, in which the Commission found that a contract to furnish free telephone services as part of the consideration or purchase price of the telephone system was discriminatory.  </w:t>
      </w:r>
      <w:r>
        <w:rPr/>
      </w:r>
    </w:p>
    <w:p>
      <w:r>
        <w:rPr>
          <w:color w:val="000000"/>
          <w:rFonts w:ascii="Times New Roman" w:hAnsi="Times New Roman"/>
          <w:sz w:val="22"/>
        </w:rPr>
        <w:t xml:space="preserve">The Company argued that had there not been an arrangement to provide free electricity, the purchase price of the hydro generation facility and distribution equipment would have been greater, thus would have increased the Company’s rate base and authorized return.  The Company further states because there was excess capacity in the hydro generating system, it was a prudent thing for the Company to do.  </w:t>
      </w:r>
      <w:r>
        <w:rPr/>
      </w:r>
    </w:p>
    <w:p>
      <w:r>
        <w:rPr>
          <w:color w:val="000000"/>
          <w:rFonts w:ascii="Times New Roman" w:hAnsi="Times New Roman"/>
          <w:sz w:val="22"/>
        </w:rPr>
        <w:t xml:space="preserve">The Commission, considering the unique facts of the case, upheld the contract based on the combined existence of significant excessive capacity in its hydro generating system and the small customer base.  The Commission found that Atlanta Power attempted to satisfy its obligation to purchase hydro power in a manner that had the least adverse economic consequences.  The Commission further found that the customers were neither prejudiced nor disadvantaged because there were no associated costs assigned to the Company’s other customers.</w:t>
      </w:r>
      <w:r>
        <w:rPr/>
      </w:r>
    </w:p>
    <w:p>
      <w:r>
        <w:rPr>
          <w:color w:val="000000"/>
          <w:rFonts w:ascii="Times New Roman" w:hAnsi="Times New Roman"/>
          <w:sz w:val="22"/>
        </w:rPr>
        <w:t xml:space="preserve">Upon reviewing other cases that have been before the Commission, the Commission has ruled in several cases that free service is discriminatory and should not be permitted.  </w:t>
      </w:r>
      <w:r>
        <w:rPr>
          <w:color w:val="000000"/>
          <w:rFonts w:ascii="Times New Roman" w:hAnsi="Times New Roman"/>
          <w:sz w:val="22"/>
        </w:rPr>
        <w:t xml:space="preserve">See</w:t>
      </w:r>
      <w:r>
        <w:rPr>
          <w:color w:val="000000"/>
          <w:rFonts w:ascii="Times New Roman" w:hAnsi="Times New Roman"/>
          <w:sz w:val="22"/>
        </w:rPr>
        <w:t xml:space="preserve">, In re Pocatello Gas and Company</w:t>
      </w:r>
      <w:r>
        <w:rPr>
          <w:color w:val="000000"/>
          <w:rFonts w:ascii="Times New Roman" w:hAnsi="Times New Roman"/>
          <w:sz w:val="22"/>
        </w:rPr>
        <w:t xml:space="preserve">, PUCI case F401, Order 868, PUR 1923C, 25; </w:t>
      </w:r>
      <w:r>
        <w:rPr>
          <w:color w:val="000000"/>
          <w:rFonts w:ascii="Times New Roman" w:hAnsi="Times New Roman"/>
          <w:sz w:val="22"/>
        </w:rPr>
        <w:t xml:space="preserve">In re Mountain States Telephone &amp; Telegraph Company</w:t>
      </w:r>
      <w:r>
        <w:rPr>
          <w:color w:val="000000"/>
          <w:rFonts w:ascii="Times New Roman" w:hAnsi="Times New Roman"/>
          <w:sz w:val="22"/>
        </w:rPr>
        <w:t xml:space="preserve">, PUCI case F627, Order 1100, PUR 1928A, 269; </w:t>
      </w:r>
      <w:r>
        <w:rPr>
          <w:color w:val="000000"/>
          <w:rFonts w:ascii="Times New Roman" w:hAnsi="Times New Roman"/>
          <w:sz w:val="22"/>
        </w:rPr>
        <w:t xml:space="preserve">Davenport v. Idaho Metals Company, </w:t>
      </w:r>
      <w:r>
        <w:rPr>
          <w:color w:val="000000"/>
          <w:rFonts w:ascii="Times New Roman" w:hAnsi="Times New Roman"/>
          <w:sz w:val="22"/>
        </w:rPr>
        <w:t xml:space="preserve">supra</w:t>
      </w:r>
      <w:r>
        <w:rPr>
          <w:color w:val="000000"/>
          <w:rFonts w:ascii="Times New Roman" w:hAnsi="Times New Roman"/>
          <w:sz w:val="22"/>
        </w:rPr>
        <w:t xml:space="preserve">.  It seems that the Atlanta Power case is distinguished from these other cases based on unique facts and circumstances relating to hydro generating facilities and purchase contracts. </w:t>
      </w:r>
      <w:r>
        <w:rPr/>
      </w:r>
    </w:p>
    <w:p>
      <w:r>
        <w:rPr>
          <w:color w:val="000000"/>
          <w:rFonts w:ascii="Times New Roman" w:hAnsi="Times New Roman"/>
          <w:sz w:val="22"/>
        </w:rPr>
        <w:t xml:space="preserve">As I have mentioned earlier, the Commission does not have this matter before them and has not ruled upon this issue, so I am unable to say how the Commission would rule upon the facts you described.  However, as I have mentioned above, the Commission has had similar issues before them and has been reluctant to approve free utility services without unique facts and circumstances.  An alternative to the agreement you have described may be some type of easement or lease agreement with the Burrells.  Also, you might already be aware that Packsaddle, as a public utility has the right of condemnation which may be exercised for public use upon just compensation.  </w:t>
      </w:r>
      <w:r>
        <w:rPr/>
      </w:r>
    </w:p>
    <w:p>
      <w:r>
        <w:rPr>
          <w:color w:val="000000"/>
          <w:rFonts w:ascii="Times New Roman" w:hAnsi="Times New Roman"/>
          <w:sz w:val="22"/>
        </w:rPr>
        <w:t xml:space="preserve">I hope this helps you in evaluating what is the best option for your client.  If you have further questions, you may call me at (208) 334-0314.</w:t>
      </w:r>
      <w:r>
        <w:rPr/>
      </w:r>
    </w:p>
    <w:p>
      <w:r>
        <w:rPr>
          <w:color w:val="000000"/>
          <w:rFonts w:ascii="Times New Roman" w:hAnsi="Times New Roman"/>
          <w:sz w:val="22"/>
        </w:rPr>
        <w:t xml:space="preserve">Sincerely,</w:t>
      </w:r>
      <w:r>
        <w:rPr/>
      </w:r>
    </w:p>
    <w:p>
      <w:r>
        <w:rPr/>
      </w:r>
    </w:p>
    <w:p>
      <w:r>
        <w:rPr/>
      </w:r>
    </w:p>
    <w:p>
      <w:r>
        <w:rPr/>
      </w:r>
    </w:p>
    <w:p>
      <w:r>
        <w:rPr>
          <w:color w:val="000000"/>
          <w:rFonts w:ascii="Times New Roman" w:hAnsi="Times New Roman"/>
          <w:sz w:val="22"/>
        </w:rPr>
        <w:t xml:space="preserve">Susan E.  Hamlin</w:t>
      </w:r>
      <w:r>
        <w:rPr/>
      </w:r>
    </w:p>
    <w:p>
      <w:r>
        <w:rPr>
          <w:color w:val="000000"/>
          <w:rFonts w:ascii="Times New Roman" w:hAnsi="Times New Roman"/>
          <w:sz w:val="22"/>
        </w:rPr>
        <w:t xml:space="preserve">Deputy Attorney General</w:t>
      </w:r>
      <w:r>
        <w:rPr/>
      </w:r>
    </w:p>
    <w:p>
      <w:r>
        <w:rPr/>
      </w:r>
    </w:p>
    <w:p>
      <w:r>
        <w:rPr>
          <w:color w:val="000000"/>
          <w:rFonts w:ascii="Times New Roman" w:hAnsi="Times New Roman"/>
          <w:sz w:val="22"/>
        </w:rPr>
        <w:t xml:space="preserve">SEH/vld:</w:t>
      </w:r>
      <w:r>
        <w:rPr>
          <w:color w:val="000000"/>
          <w:rFonts w:ascii="Times New Roman" w:hAnsi="Times New Roman"/>
          <w:sz w:val="16"/>
        </w:rPr>
        <w:t xml:space="preserve">L:Moulton.sh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