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 HIDDEN SPRINGS WATER CO., LLC FOR A CERTIFICATE OF PUBLIC CONVENIENCE AND NECESSITY.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16, 1997, United Water Idaho, Inc.  (United Water; Company) filed an Application in Case No. UWI-W-97-3 with the Idaho Public Utilities Commission (Commission) requesting authorization to amend and revise its Certificate area service boundaries in Ada County to include the proposed Hidden Springs Community, an area in the Dry Creek Valley and contiguous to its present system and certificated territory.  Reference Application Exhibit A, Map of Proposed Boundary Expansion and Exhibit C,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31.01.01.112.</w:t>
      </w:r>
      <w:r>
        <w:rPr>
          <w:vertAlign w:val="baseline"/>
        </w:rPr>
      </w:r>
    </w:p>
    <w:p>
      <w:r>
        <w:rPr>
          <w:color w:val="000000"/>
          <w:rFonts w:ascii="Times New Roman" w:hAnsi="Times New Roman"/>
          <w:sz w:val="24"/>
          <w:vertAlign w:val="baseline"/>
        </w:rPr>
        <w:t xml:space="preserve">On November 10, 1997, Hidden Springs Water Co., LLC (Hidden Springs) filed a competing Application in Case No. GNR-W-97-2 requesting a Certificate of Public Convenience and Necessity to provide water service to the same area.  Reference Application Exhibits D &amp; E, Maps of Proposed Community and Service Area; Exhibit B,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Commission Rules of Procedure, IDAPA 31.01.01.111.  </w:t>
      </w:r>
      <w:r>
        <w:rPr>
          <w:vertAlign w:val="baseline"/>
        </w:rPr>
      </w:r>
    </w:p>
    <w:p>
      <w:r>
        <w:rPr>
          <w:color w:val="000000"/>
          <w:rFonts w:ascii="Times New Roman" w:hAnsi="Times New Roman"/>
          <w:sz w:val="24"/>
          <w:vertAlign w:val="baseline"/>
        </w:rPr>
        <w:t xml:space="preserve">The Hidden Springs Community, the requested service area in Case Nos. UWI-W-97-3 and GNR-W-97-2, will consist of approximately 915 residential units, a limited amount of commercial development (approximately 100,000 square feet), and public facilities including a school, community center, park, playing fields and fire station.</w:t>
      </w:r>
      <w:r>
        <w:rPr>
          <w:vertAlign w:val="baseline"/>
        </w:rPr>
      </w:r>
    </w:p>
    <w:p>
      <w:r>
        <w:rPr>
          <w:color w:val="000000"/>
          <w:rFonts w:ascii="Times New Roman" w:hAnsi="Times New Roman"/>
          <w:sz w:val="24"/>
          <w:vertAlign w:val="baseline"/>
        </w:rPr>
        <w:t xml:space="preserve">The Commission consolidated Case Nos. UWI-W-97-3 and GNR-W-97-2 in Order No. 27239 issued November 26, 1997.</w:t>
      </w:r>
      <w:r>
        <w:rPr>
          <w:vertAlign w:val="baseline"/>
        </w:rPr>
      </w:r>
    </w:p>
    <w:p>
      <w:r>
        <w:rPr>
          <w:color w:val="000000"/>
          <w:rFonts w:ascii="Times New Roman" w:hAnsi="Times New Roman"/>
          <w:sz w:val="24"/>
          <w:vertAlign w:val="baseline"/>
        </w:rPr>
        <w:t xml:space="preserve">A prehearing conference in consolidated Case Nos. GNR-W-97-2 and UWI-W-97-3 was held in Boise, Idaho on December 15, 1997.</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scheduling has been adopted:</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20,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February 6,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February 19,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deadline—direct testimony</w:t>
            </w:r>
            <w:r>
              <w:rPr>
                <w:vertAlign w:val="baseline"/>
              </w:rPr>
            </w:r>
          </w:p>
          <w:p>
            <w:r>
              <w:rPr>
                <w:color w:val="000000"/>
                <w:rFonts w:ascii="Times New Roman" w:hAnsi="Times New Roman"/>
                <w:sz w:val="24"/>
                <w:vertAlign w:val="baseline"/>
              </w:rPr>
              <w:t xml:space="preserve">Hidden Springs</w:t>
            </w:r>
            <w:r>
              <w:rPr>
                <w:vertAlign w:val="baseline"/>
              </w:rPr>
            </w:r>
          </w:p>
          <w:p>
            <w:r>
              <w:rPr>
                <w:vertAlign w:val="baseline"/>
              </w:rPr>
            </w:r>
          </w:p>
          <w:p>
            <w:r>
              <w:rPr>
                <w:color w:val="000000"/>
                <w:rFonts w:ascii="Times New Roman" w:hAnsi="Times New Roman"/>
                <w:sz w:val="24"/>
                <w:vertAlign w:val="baseline"/>
              </w:rPr>
              <w:t xml:space="preserve">Prefile deadline—direct testimony</w:t>
            </w:r>
            <w:r>
              <w:rPr>
                <w:vertAlign w:val="baseline"/>
              </w:rPr>
            </w:r>
          </w:p>
          <w:p>
            <w:r>
              <w:rPr>
                <w:color w:val="000000"/>
                <w:rFonts w:ascii="Times New Roman" w:hAnsi="Times New Roman"/>
                <w:sz w:val="24"/>
                <w:vertAlign w:val="baseline"/>
              </w:rPr>
              <w:t xml:space="preserve">United Water</w:t>
            </w:r>
            <w:r>
              <w:rPr>
                <w:vertAlign w:val="baseline"/>
              </w:rPr>
            </w:r>
          </w:p>
          <w:p>
            <w:r>
              <w:rPr>
                <w:vertAlign w:val="baseline"/>
              </w:rPr>
            </w:r>
          </w:p>
          <w:p>
            <w:r>
              <w:rPr>
                <w:color w:val="000000"/>
                <w:rFonts w:ascii="Times New Roman" w:hAnsi="Times New Roman"/>
                <w:sz w:val="24"/>
                <w:vertAlign w:val="baseline"/>
              </w:rPr>
              <w:t xml:space="preserve">Prefile deadline—rebuttal testimony</w:t>
            </w:r>
            <w:r>
              <w:rPr>
                <w:vertAlign w:val="baseline"/>
              </w:rPr>
            </w:r>
          </w:p>
          <w:p>
            <w:r>
              <w:rPr>
                <w:color w:val="000000"/>
                <w:rFonts w:ascii="Times New Roman" w:hAnsi="Times New Roman"/>
                <w:sz w:val="24"/>
                <w:vertAlign w:val="baseline"/>
              </w:rPr>
              <w:t xml:space="preserve">Hidden Springs</w:t>
            </w:r>
            <w:r>
              <w:rPr>
                <w:vertAlign w:val="baseline"/>
              </w:rPr>
            </w:r>
          </w:p>
        </w:tc>
      </w:tr>
    </w:tbl>
    <w:p>
      <w:pPr/>
    </w:p>
    <w:p>
      <w:r>
        <w:rPr>
          <w:vertAlign w:val="baseline"/>
        </w:rPr>
      </w:r>
    </w:p>
    <w:p>
      <w:r>
        <w:rPr>
          <w:color w:val="000000"/>
          <w:rFonts w:ascii="Times New Roman" w:hAnsi="Times New Roman"/>
          <w:sz w:val="24"/>
          <w:vertAlign w:val="baseline"/>
        </w:rPr>
        <w:t xml:space="preserve">Pursuant to agreement, all prefile dates are “in-hand” dates.  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  Given the expedited scheduling adopted, it is expected that the standard 28 day response deadlines will be shortened and the parties will utilize “best efforts” in responding.</w:t>
      </w:r>
      <w:r>
        <w:rPr>
          <w:vertAlign w:val="baseline"/>
        </w:rPr>
      </w:r>
    </w:p>
    <w:p>
      <w:r>
        <w:rPr>
          <w:color w:val="000000"/>
          <w:rFonts w:ascii="Times New Roman" w:hAnsi="Times New Roman"/>
          <w:sz w:val="24"/>
          <w:vertAlign w:val="baseline"/>
        </w:rPr>
        <w:t xml:space="preserve">YOU ARE FURTHER NOTIFIED that the Commission will convene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consolidated Case Nos. UWI-W-97-3 and GNR-W-97-2 commencing at </w:t>
      </w:r>
      <w:r>
        <w:rPr>
          <w:color w:val="000000"/>
          <w:rFonts w:ascii="Times New Roman" w:hAnsi="Times New Roman"/>
          <w:sz w:val="24"/>
          <w:vertAlign w:val="baseline"/>
        </w:rPr>
        <w:t xml:space="preserve">9:30 A.M., TUESDAY, FEBRUARY 24, 1998, AT THE COMMISSION HEARING ROOM, 472 WEST WASHINGTON, BOISE, IDAHO,</w:t>
      </w:r>
      <w:r>
        <w:rPr>
          <w:color w:val="000000"/>
          <w:rFonts w:ascii="Times New Roman" w:hAnsi="Times New Roman"/>
          <w:sz w:val="24"/>
          <w:vertAlign w:val="baseline"/>
        </w:rPr>
        <w:t xml:space="preserve"> and continuing if necessary on </w:t>
      </w:r>
      <w:r>
        <w:rPr>
          <w:color w:val="000000"/>
          <w:rFonts w:ascii="Times New Roman" w:hAnsi="Times New Roman"/>
          <w:sz w:val="24"/>
          <w:vertAlign w:val="baseline"/>
        </w:rPr>
        <w:t xml:space="preserve">Wednesday, February 25, 1998, at the same location</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vld/N:GNR-W-97-2.sw2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