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8"/>
        </w:rPr>
        <w:t xml:space="preserve">M E M O R A N D U M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TO:COMMISSIONER HANSEN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COMMISSIONER NELSON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COMMISSIONER SMITH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MYRNA WALTERS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STEPHANIE MILLER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SCOTT WOODBURY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TERRI CARLOCK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GEORGE FINK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WORKING FILE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FROM:BOB SMITH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DATE:JUNE 17, 1998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SUBJECT:MCGUIRE ESTATES WATER CO. RATE CASE NO. MCG-W-98-1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At yesterday’s decision meeting the Commission was made aware of a major repair to the Company’s well that occurred subsequent to the 1997 test year.  Staff estimated the cost of the repair at $3,000.  The Commission indicated it would like to recognize this repair if the actual cost could be verified.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I have received facsimile copies of the invoices the Company has paid to complete the repairs.  The total cost was $2,988.09. Of this amount, $2,156.93 was paid to R.C. Worst Co. to pull the pump, replace a bad check valve and reinstall the pump.  To pull the pump, part of the well house had to be dismantled.  An additional $831.16 was paid to Mr. Jim Meyers to repair and re-roof the portion of the well house that was dismantled.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The capitalized cost of the repair ($2,988.09) if recognized in this case would increase the Company’s revenue requirement by $648 calculated as follows: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Additional Rate Base$2,988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Rate of Returnx</w:t>
      </w:r>
      <w:r>
        <w:rPr>
          <w:color w:val="000000"/>
          <w:rFonts w:ascii="Times New Roman" w:hAnsi="Times New Roman"/>
          <w:sz w:val="24"/>
        </w:rPr>
        <w:t xml:space="preserve">    12%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Additional Operating Income$   359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Gross-up for Income Taxx</w:t>
      </w:r>
      <w:r>
        <w:rPr>
          <w:color w:val="000000"/>
          <w:rFonts w:ascii="Times New Roman" w:hAnsi="Times New Roman"/>
          <w:sz w:val="24"/>
        </w:rPr>
        <w:t xml:space="preserve">   1.25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Pre-Tax income requirement$    449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Depreciation Expense (15 Yr life)$ </w:t>
      </w:r>
      <w:r>
        <w:rPr>
          <w:color w:val="000000"/>
          <w:rFonts w:ascii="Times New Roman" w:hAnsi="Times New Roman"/>
          <w:sz w:val="24"/>
        </w:rPr>
        <w:t xml:space="preserve">   199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Total Additional Revenue Req.$  </w:t>
      </w:r>
      <w:r>
        <w:rPr>
          <w:color w:val="000000"/>
          <w:rFonts w:ascii="Times New Roman" w:hAnsi="Times New Roman"/>
          <w:sz w:val="24"/>
        </w:rPr>
        <w:t xml:space="preserve">  648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This amount compares with the $650 revenue requirement Scott Woodbury brought to your attention during the decision meeting.  The rates mentioned during the meeting of $14.75 base rate plus a commodity charge of $0.56 per 1,000 gallons in excess of 10,000 per month are therefore still appropriate and should provide the Company’s total revenue requirement of $16,733.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16"/>
        </w:rPr>
        <w:t xml:space="preserve">RES:u\bsmith\wpfiles\mcquire\postdec.mem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