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Bold)  (TT)" w:hAnsi="Times New Roman (Bold)  (TT)"/>
                <w:sz w:val="24"/>
              </w:rPr>
              <w:t xml:space="preserve">IN THE MATTER OF THE APPLICATION OF UNITED WATER IDAHO, INC. FOR APPROVAL OF AN AGREEMENT TO EXCHANGE SERVICE AREAS AND TO AMEND AND REVISE CERTIFICATE OF CONVENIENCE AND NECESSITY NO. 143</w:t>
            </w:r>
            <w:r>
              <w:rPr/>
            </w:r>
          </w:p>
          <w:p>
            <w:r>
              <w:rPr>
                <w:color w:val="000000"/>
                <w:rFonts w:ascii="Times New Roman (Bold)  (TT)" w:hAnsi="Times New Roman (Bold)  (TT)"/>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Bold)  (TT)" w:hAnsi="Times New Roman (Bold)  (TT)"/>
                <w:sz w:val="24"/>
              </w:rPr>
              <w:t xml:space="preserve">CASE NO. UWI-W-95-2</w:t>
            </w:r>
            <w:r>
              <w:rPr/>
            </w:r>
          </w:p>
          <w:p>
            <w:r>
              <w:rPr/>
            </w:r>
          </w:p>
          <w:p>
            <w:r>
              <w:rPr/>
            </w:r>
          </w:p>
          <w:p>
            <w:r>
              <w:rPr>
                <w:color w:val="000000"/>
                <w:rFonts w:ascii="Times New Roman (Bold)  (TT)" w:hAnsi="Times New Roman (Bold)  (TT)"/>
                <w:sz w:val="24"/>
              </w:rPr>
              <w:t xml:space="preserve">ORDER NO. 26193</w:t>
            </w:r>
            <w:r>
              <w:rPr/>
            </w:r>
          </w:p>
        </w:tc>
      </w:tr>
    </w:tbl>
    <w:p>
      <w:pPr/>
    </w:p>
    <w:p>
      <w:r>
        <w:rPr>
          <w:color w:val="000000"/>
          <w:rFonts w:ascii="Times New Roman  (TT)" w:hAnsi="Times New Roman  (TT)"/>
          <w:sz w:val="24"/>
        </w:rPr>
        <w:t xml:space="preserve">The City of Boise City petitioned to intervene in this case on September 20, 1995, pursuant to Rules of Procedure 71 through 75 of the Idaho Public Utilities Commission, IDAPA 31.01.01071-75.  United Water Idaho, Inc. filed an Objection to Boise City’s Intervention on September 29, 1995, asserting that Boise City had failed to show any direct or substantial interest in these proceedings.  Boise City filed a response on October 3, 1995.  Boise City contends that it is a customer of United Water and that its rates may be affected by the Commission’s approval of the Application.  Boise City contends that it has an interest in insuring that the purchase price in the Exchange Agreement under consideration is reasonable and that the terms of a related Area of Impact Agreement between Boise City and Garden City have been complied with.  As represented, the Area of Impact Agreement entered into by Boise City and Garden City in December of 1994 provides that Garden City will negotiate with United Water Idaho for transfer of Garden City’s assets located outside the Garden City boundary.</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The Commission after reviewing and considering the pleadings and other documents filed in this case concludes that Boise City has articulated a direct and substantial interest in these proceedings and finds that intervention by this party would serve the purposes of intervention as described by Rule 74 of the Commission’s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the City of Boise City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Douglas K. Strickling</w:t>
      </w:r>
      <w:r>
        <w:rPr/>
      </w:r>
    </w:p>
    <w:p>
      <w:r>
        <w:rPr>
          <w:color w:val="000000"/>
          <w:rFonts w:ascii="Times New Roman  (TT)" w:hAnsi="Times New Roman  (TT)"/>
          <w:sz w:val="24"/>
        </w:rPr>
        <w:t xml:space="preserve">Boise City Attorney’s Office</w:t>
      </w:r>
      <w:r>
        <w:rPr/>
      </w:r>
    </w:p>
    <w:p>
      <w:r>
        <w:rPr>
          <w:color w:val="000000"/>
          <w:rFonts w:ascii="Times New Roman  (TT)" w:hAnsi="Times New Roman  (TT)"/>
          <w:sz w:val="24"/>
        </w:rPr>
        <w:t xml:space="preserve">150 N. Capitol Boulevard</w:t>
      </w:r>
      <w:r>
        <w:rPr/>
      </w:r>
    </w:p>
    <w:p>
      <w:r>
        <w:rPr>
          <w:color w:val="000000"/>
          <w:rFonts w:ascii="Times New Roman  (TT)" w:hAnsi="Times New Roman  (TT)"/>
          <w:sz w:val="24"/>
        </w:rPr>
        <w:t xml:space="preserve">PO Box 500</w:t>
      </w:r>
      <w:r>
        <w:rPr/>
      </w:r>
    </w:p>
    <w:p>
      <w:r>
        <w:rPr>
          <w:color w:val="000000"/>
          <w:rFonts w:ascii="Times New Roman  (TT)" w:hAnsi="Times New Roman  (TT)"/>
          <w:sz w:val="24"/>
        </w:rPr>
        <w:t xml:space="preserve">Boise, ID 83701</w:t>
      </w:r>
      <w:r>
        <w:rPr/>
      </w:r>
    </w:p>
    <w:p>
      <w:r>
        <w:rPr/>
      </w:r>
    </w:p>
    <w:p>
      <w:r>
        <w:rPr/>
      </w:r>
    </w:p>
    <w:p>
      <w:r>
        <w:rPr/>
      </w:r>
    </w:p>
    <w:p>
      <w:r>
        <w:rPr>
          <w:color w:val="000000"/>
          <w:rFonts w:ascii="Times New Roman  (TT)" w:hAnsi="Times New Roman  (TT)"/>
          <w:sz w:val="24"/>
        </w:rPr>
        <w:t xml:space="preserve">DONE by Order of the Idaho Public Utilities Commission at Boise, Idaho, this         day of  October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Times New Roman" w:hAnsi="Times New Roman"/>
          <w:sz w:val="20"/>
        </w:rPr>
        <w:t xml:space="preserve">bls/O-uwiw952.in1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